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F20A" w14:textId="77777777" w:rsidR="00C745A6" w:rsidRDefault="00C745A6" w:rsidP="00613320">
      <w:pPr>
        <w:rPr>
          <w:rFonts w:ascii="UnitPro-Medi" w:hAnsi="UnitPro-Medi" w:cs="UnitPro-Medi"/>
          <w:sz w:val="28"/>
        </w:rPr>
      </w:pPr>
    </w:p>
    <w:p w14:paraId="26C4EE79" w14:textId="6A3C5D03" w:rsidR="00613320" w:rsidRDefault="00613320" w:rsidP="00613320">
      <w:pPr>
        <w:rPr>
          <w:rFonts w:ascii="UnitPro-Medi" w:hAnsi="UnitPro-Medi" w:cs="UnitPro-Medi"/>
          <w:sz w:val="28"/>
        </w:rPr>
      </w:pPr>
      <w:r w:rsidRPr="004F1904">
        <w:rPr>
          <w:rFonts w:ascii="UnitPro-Medi" w:hAnsi="UnitPro-Medi" w:cs="UnitPro-Medi"/>
          <w:sz w:val="28"/>
        </w:rPr>
        <w:t>Pořizovatel</w:t>
      </w:r>
    </w:p>
    <w:p w14:paraId="6BFD50FA" w14:textId="77777777" w:rsidR="00613320" w:rsidRPr="00891963" w:rsidRDefault="00613320" w:rsidP="00613320">
      <w:pPr>
        <w:contextualSpacing/>
        <w:rPr>
          <w:rFonts w:ascii="UnitPro-Medi" w:hAnsi="UnitPro-Medi" w:cs="UnitPro-Medi"/>
        </w:rPr>
      </w:pPr>
      <w:r w:rsidRPr="00891963">
        <w:rPr>
          <w:rFonts w:ascii="UnitPro-Medi" w:hAnsi="UnitPro-Medi" w:cs="UnitPro-Medi"/>
        </w:rPr>
        <w:t>Magistrát hlavního města Prahy</w:t>
      </w:r>
    </w:p>
    <w:p w14:paraId="7018696C" w14:textId="1FF355BF" w:rsidR="00613320" w:rsidRPr="00C745A6" w:rsidRDefault="00613320" w:rsidP="00613320">
      <w:pPr>
        <w:contextualSpacing/>
        <w:rPr>
          <w:rFonts w:ascii="UnitPro-Light" w:hAnsi="UnitPro-Light" w:cs="UnitPro-Light"/>
        </w:rPr>
      </w:pPr>
      <w:r w:rsidRPr="00C745A6">
        <w:rPr>
          <w:rFonts w:ascii="UnitPro-Light" w:hAnsi="UnitPro-Light" w:cs="UnitPro-Light"/>
        </w:rPr>
        <w:t xml:space="preserve">Odbor územního </w:t>
      </w:r>
      <w:r w:rsidR="006D1E22">
        <w:rPr>
          <w:rFonts w:ascii="UnitPro-Light" w:hAnsi="UnitPro-Light" w:cs="UnitPro-Light"/>
        </w:rPr>
        <w:t>rozvoje</w:t>
      </w:r>
    </w:p>
    <w:p w14:paraId="299A9BD9" w14:textId="4576E6EA" w:rsidR="00613320" w:rsidRPr="00C745A6" w:rsidRDefault="00613320" w:rsidP="00613320">
      <w:pPr>
        <w:contextualSpacing/>
        <w:rPr>
          <w:rFonts w:ascii="UnitPro-Light" w:hAnsi="UnitPro-Light" w:cs="UnitPro-Light"/>
        </w:rPr>
      </w:pPr>
      <w:r w:rsidRPr="00C745A6">
        <w:rPr>
          <w:rFonts w:ascii="UnitPro-Light" w:hAnsi="UnitPro-Light" w:cs="UnitPro-Light"/>
        </w:rPr>
        <w:t>Jungmannova 35/29, Praha 1</w:t>
      </w:r>
      <w:r w:rsidR="00550AE3" w:rsidRPr="00C745A6">
        <w:rPr>
          <w:rFonts w:ascii="UnitPro-Light" w:hAnsi="UnitPro-Light" w:cs="UnitPro-Light"/>
        </w:rPr>
        <w:t xml:space="preserve">, </w:t>
      </w:r>
      <w:r w:rsidRPr="00C745A6">
        <w:rPr>
          <w:rFonts w:ascii="UnitPro-Light" w:hAnsi="UnitPro-Light" w:cs="UnitPro-Light"/>
        </w:rPr>
        <w:t>110 00</w:t>
      </w:r>
    </w:p>
    <w:p w14:paraId="2B59AE92" w14:textId="703ECC68" w:rsidR="00613320" w:rsidRPr="00C745A6" w:rsidRDefault="00843D32" w:rsidP="00453D62">
      <w:pPr>
        <w:tabs>
          <w:tab w:val="left" w:pos="4755"/>
        </w:tabs>
        <w:spacing w:after="1440"/>
        <w:rPr>
          <w:rFonts w:ascii="UnitPro-Medi" w:hAnsi="UnitPro-Medi" w:cs="UnitPro-Medi"/>
        </w:rPr>
      </w:pPr>
      <w:r>
        <w:rPr>
          <w:rFonts w:ascii="UnitPro-Medi" w:hAnsi="UnitPro-Medi" w:cs="UnitPro-Medi"/>
        </w:rPr>
        <w:t>Ředitel:</w:t>
      </w:r>
      <w:r w:rsidR="00550AE3" w:rsidRPr="00C745A6">
        <w:rPr>
          <w:rFonts w:ascii="UnitPro-Medi" w:hAnsi="UnitPro-Medi" w:cs="UnitPro-Medi"/>
        </w:rPr>
        <w:t xml:space="preserve"> Ing. </w:t>
      </w:r>
      <w:r w:rsidR="000F5FFF">
        <w:rPr>
          <w:rFonts w:ascii="UnitPro-Medi" w:hAnsi="UnitPro-Medi" w:cs="UnitPro-Medi"/>
        </w:rPr>
        <w:t>arch. Filip Foglar</w:t>
      </w:r>
    </w:p>
    <w:p w14:paraId="7B159862" w14:textId="77777777" w:rsidR="00613320" w:rsidRDefault="00613320" w:rsidP="00613320">
      <w:pPr>
        <w:rPr>
          <w:rFonts w:ascii="UnitPro-Medi" w:hAnsi="UnitPro-Medi" w:cs="UnitPro-Medi"/>
          <w:sz w:val="28"/>
        </w:rPr>
      </w:pPr>
      <w:r w:rsidRPr="00891963">
        <w:rPr>
          <w:rFonts w:ascii="UnitPro-Medi" w:hAnsi="UnitPro-Medi" w:cs="UnitPro-Medi"/>
          <w:sz w:val="28"/>
        </w:rPr>
        <w:t>Zpracovatel</w:t>
      </w:r>
    </w:p>
    <w:p w14:paraId="0683E363" w14:textId="396AFE7D" w:rsidR="00613320" w:rsidRPr="00891963" w:rsidRDefault="00613320" w:rsidP="00613320">
      <w:pPr>
        <w:contextualSpacing/>
        <w:rPr>
          <w:rFonts w:ascii="UnitPro-Medi" w:hAnsi="UnitPro-Medi" w:cs="UnitPro-Medi"/>
        </w:rPr>
      </w:pPr>
      <w:r w:rsidRPr="00891963">
        <w:rPr>
          <w:rFonts w:ascii="UnitPro-Medi" w:hAnsi="UnitPro-Medi" w:cs="UnitPro-Medi"/>
        </w:rPr>
        <w:t xml:space="preserve">Institut </w:t>
      </w:r>
      <w:r w:rsidR="006D1E22">
        <w:rPr>
          <w:rFonts w:ascii="UnitPro-Medi" w:hAnsi="UnitPro-Medi" w:cs="UnitPro-Medi"/>
        </w:rPr>
        <w:t>plánování a rozvoje hlavního města</w:t>
      </w:r>
      <w:r w:rsidRPr="00891963">
        <w:rPr>
          <w:rFonts w:ascii="UnitPro-Medi" w:hAnsi="UnitPro-Medi" w:cs="UnitPro-Medi"/>
        </w:rPr>
        <w:t xml:space="preserve"> Prahy</w:t>
      </w:r>
    </w:p>
    <w:p w14:paraId="64003C11" w14:textId="6E722216" w:rsidR="00613320" w:rsidRPr="00C745A6" w:rsidRDefault="00613320" w:rsidP="00613320">
      <w:pPr>
        <w:contextualSpacing/>
        <w:rPr>
          <w:rFonts w:ascii="UnitPro-Light" w:hAnsi="UnitPro-Light" w:cs="UnitPro-Light"/>
        </w:rPr>
      </w:pPr>
      <w:r w:rsidRPr="00C745A6">
        <w:rPr>
          <w:rFonts w:ascii="UnitPro-Light" w:hAnsi="UnitPro-Light" w:cs="UnitPro-Light"/>
        </w:rPr>
        <w:t>Vyšehradská 57/2077, Praha 2</w:t>
      </w:r>
      <w:r w:rsidR="00550AE3" w:rsidRPr="00C745A6">
        <w:rPr>
          <w:rFonts w:ascii="UnitPro-Light" w:hAnsi="UnitPro-Light" w:cs="UnitPro-Light"/>
        </w:rPr>
        <w:t>,</w:t>
      </w:r>
      <w:r w:rsidR="00D8743B" w:rsidRPr="00C745A6">
        <w:rPr>
          <w:rFonts w:ascii="UnitPro-Light" w:hAnsi="UnitPro-Light" w:cs="UnitPro-Light"/>
        </w:rPr>
        <w:t xml:space="preserve"> </w:t>
      </w:r>
      <w:r w:rsidRPr="00C745A6">
        <w:rPr>
          <w:rFonts w:ascii="UnitPro-Light" w:hAnsi="UnitPro-Light" w:cs="UnitPro-Light"/>
        </w:rPr>
        <w:t>128 00</w:t>
      </w:r>
    </w:p>
    <w:p w14:paraId="3349C240" w14:textId="06547DE5" w:rsidR="00613320" w:rsidRPr="00C745A6" w:rsidRDefault="00550AE3" w:rsidP="00C745A6">
      <w:pPr>
        <w:spacing w:after="1440"/>
        <w:rPr>
          <w:rFonts w:ascii="UnitPro-Medi" w:hAnsi="UnitPro-Medi" w:cs="UnitPro-Medi"/>
        </w:rPr>
      </w:pPr>
      <w:r w:rsidRPr="00C745A6">
        <w:rPr>
          <w:rFonts w:ascii="UnitPro-Medi" w:hAnsi="UnitPro-Medi" w:cs="UnitPro-Medi"/>
        </w:rPr>
        <w:t>Ředitel: Mgr. Ondřej Boháč</w:t>
      </w:r>
    </w:p>
    <w:p w14:paraId="2FADE8FE" w14:textId="72DBAC78" w:rsidR="00613320" w:rsidRPr="00C745A6" w:rsidRDefault="00C745A6" w:rsidP="00613320">
      <w:pPr>
        <w:contextualSpacing/>
        <w:rPr>
          <w:rFonts w:ascii="UnitPro-Medi" w:hAnsi="UnitPro-Medi" w:cs="UnitPro-Medi"/>
        </w:rPr>
      </w:pPr>
      <w:r w:rsidRPr="00C745A6">
        <w:rPr>
          <w:rFonts w:ascii="UnitPro-Medi" w:hAnsi="UnitPro-Medi" w:cs="UnitPro-Medi"/>
        </w:rPr>
        <w:t>Ing. arch. Kateřina Szentesiová</w:t>
      </w:r>
    </w:p>
    <w:p w14:paraId="77E6F897" w14:textId="3AF74EF7" w:rsidR="00C745A6" w:rsidRPr="001B4B86" w:rsidRDefault="00C745A6" w:rsidP="00613320">
      <w:pPr>
        <w:contextualSpacing/>
        <w:rPr>
          <w:rFonts w:ascii="UnitPro-Light" w:hAnsi="UnitPro-Light" w:cs="UnitPro-Light"/>
        </w:rPr>
      </w:pPr>
      <w:r w:rsidRPr="001B4B86">
        <w:rPr>
          <w:rFonts w:ascii="UnitPro-Light" w:hAnsi="UnitPro-Light" w:cs="UnitPro-Light"/>
        </w:rPr>
        <w:t>Autorizovaný architekt, typ autorizace A</w:t>
      </w:r>
    </w:p>
    <w:p w14:paraId="3C9D38AA" w14:textId="2159D85F" w:rsidR="00C745A6" w:rsidRPr="001B4B86" w:rsidRDefault="00C745A6" w:rsidP="00C745A6">
      <w:pPr>
        <w:spacing w:after="1440" w:line="240" w:lineRule="auto"/>
        <w:rPr>
          <w:rFonts w:ascii="UnitPro-Light" w:hAnsi="UnitPro-Light" w:cs="UnitPro-Light"/>
        </w:rPr>
      </w:pPr>
      <w:r w:rsidRPr="001B4B86">
        <w:rPr>
          <w:rFonts w:ascii="UnitPro-Light" w:hAnsi="UnitPro-Light" w:cs="UnitPro-Light"/>
        </w:rPr>
        <w:t>Číslo autorizace ČKA: 198</w:t>
      </w:r>
      <w:r w:rsidR="00B56902">
        <w:rPr>
          <w:rFonts w:ascii="UnitPro-Light" w:hAnsi="UnitPro-Light" w:cs="UnitPro-Light"/>
        </w:rPr>
        <w:t>1</w:t>
      </w:r>
    </w:p>
    <w:p w14:paraId="3D343AE2" w14:textId="3BF9FB02" w:rsidR="00E22B7C" w:rsidRPr="00C745A6" w:rsidRDefault="00E22B7C" w:rsidP="00E22B7C">
      <w:pPr>
        <w:contextualSpacing/>
        <w:rPr>
          <w:rFonts w:ascii="UnitPro-Medi" w:hAnsi="UnitPro-Medi" w:cs="UnitPro-Medi"/>
        </w:rPr>
      </w:pPr>
      <w:r w:rsidRPr="00C745A6">
        <w:rPr>
          <w:rFonts w:ascii="UnitPro-Medi" w:hAnsi="UnitPro-Medi" w:cs="UnitPro-Medi"/>
        </w:rPr>
        <w:t xml:space="preserve">Ing. </w:t>
      </w:r>
      <w:r>
        <w:rPr>
          <w:rFonts w:ascii="UnitPro-Medi" w:hAnsi="UnitPro-Medi" w:cs="UnitPro-Medi"/>
        </w:rPr>
        <w:t>Václav Novotný</w:t>
      </w:r>
      <w:r w:rsidR="006E5E19">
        <w:rPr>
          <w:rFonts w:ascii="UnitPro-Medi" w:hAnsi="UnitPro-Medi" w:cs="UnitPro-Medi"/>
        </w:rPr>
        <w:t>, Ph.D.</w:t>
      </w:r>
    </w:p>
    <w:p w14:paraId="778A3C85" w14:textId="22745910" w:rsidR="00C745A6" w:rsidRPr="001B4B86" w:rsidRDefault="00C745A6" w:rsidP="00613320">
      <w:pPr>
        <w:contextualSpacing/>
        <w:rPr>
          <w:rFonts w:ascii="UnitPro-Light" w:hAnsi="UnitPro-Light" w:cs="UnitPro-Light"/>
        </w:rPr>
      </w:pPr>
      <w:r w:rsidRPr="001B4B86">
        <w:rPr>
          <w:rFonts w:ascii="UnitPro-Light" w:hAnsi="UnitPro-Light" w:cs="UnitPro-Light"/>
        </w:rPr>
        <w:t>Autorizovaný inženýr pro dopravní stavby</w:t>
      </w:r>
    </w:p>
    <w:p w14:paraId="237FA92B" w14:textId="6F4D6CEC" w:rsidR="00613320" w:rsidRPr="001B4B86" w:rsidRDefault="00C745A6" w:rsidP="00C745A6">
      <w:pPr>
        <w:spacing w:after="1440" w:line="240" w:lineRule="auto"/>
        <w:rPr>
          <w:rFonts w:ascii="UnitPro-Light" w:hAnsi="UnitPro-Light" w:cs="UnitPro-Light"/>
        </w:rPr>
      </w:pPr>
      <w:r w:rsidRPr="001B4B86">
        <w:rPr>
          <w:rFonts w:ascii="UnitPro-Light" w:hAnsi="UnitPro-Light" w:cs="UnitPro-Light"/>
        </w:rPr>
        <w:t xml:space="preserve">Číslo autorizace ČKAIT: </w:t>
      </w:r>
      <w:r w:rsidR="00946636" w:rsidRPr="00F84BC4">
        <w:rPr>
          <w:rFonts w:ascii="UnitPro-Light" w:hAnsi="UnitPro-Light" w:cs="UnitPro-Light"/>
        </w:rPr>
        <w:t>0012939</w:t>
      </w:r>
    </w:p>
    <w:p w14:paraId="7389A585" w14:textId="77777777" w:rsidR="00613320" w:rsidRDefault="00613320" w:rsidP="00613320">
      <w:pPr>
        <w:rPr>
          <w:rFonts w:ascii="UnitPro-Medi" w:hAnsi="UnitPro-Medi" w:cs="UnitPro-Medi"/>
          <w:sz w:val="28"/>
        </w:rPr>
      </w:pPr>
      <w:r w:rsidRPr="00891963">
        <w:rPr>
          <w:rFonts w:ascii="UnitPro-Medi" w:hAnsi="UnitPro-Medi" w:cs="UnitPro-Medi"/>
          <w:sz w:val="28"/>
        </w:rPr>
        <w:t>Autorský tým</w:t>
      </w:r>
    </w:p>
    <w:p w14:paraId="2775A4E3" w14:textId="3BD5FCBD" w:rsidR="001831FA" w:rsidRPr="00891963" w:rsidRDefault="008113FF" w:rsidP="001831FA">
      <w:pPr>
        <w:contextualSpacing/>
        <w:rPr>
          <w:rFonts w:ascii="UnitPro-Medi" w:hAnsi="UnitPro-Medi" w:cs="UnitPro-Medi"/>
        </w:rPr>
      </w:pPr>
      <w:r>
        <w:rPr>
          <w:rFonts w:ascii="UnitPro-Medi" w:hAnsi="UnitPro-Medi" w:cs="UnitPro-Medi"/>
        </w:rPr>
        <w:t>Bc. Marek Binko</w:t>
      </w:r>
    </w:p>
    <w:p w14:paraId="733074EF" w14:textId="7584DBBB" w:rsidR="008D22F6" w:rsidRPr="008D22F6" w:rsidRDefault="006E5E19" w:rsidP="008D22F6">
      <w:pPr>
        <w:contextualSpacing/>
        <w:jc w:val="both"/>
        <w:rPr>
          <w:rFonts w:ascii="UnitPro-Light" w:hAnsi="UnitPro-Light" w:cs="UnitPro-Light"/>
          <w:spacing w:val="-4"/>
        </w:rPr>
      </w:pPr>
      <w:r w:rsidRPr="00742D55">
        <w:rPr>
          <w:rFonts w:ascii="UnitPro-Medi" w:hAnsi="UnitPro-Medi" w:cs="UnitPro-Medi"/>
          <w:spacing w:val="-4"/>
        </w:rPr>
        <w:t>Ing. Václav Novotný, Ph.D.</w:t>
      </w:r>
      <w:r w:rsidRPr="008113FF">
        <w:rPr>
          <w:rFonts w:ascii="UnitPro-Light" w:hAnsi="UnitPro-Light" w:cs="UnitPro-Light"/>
          <w:spacing w:val="-4"/>
        </w:rPr>
        <w:t xml:space="preserve">, </w:t>
      </w:r>
      <w:r w:rsidR="008D22F6" w:rsidRPr="006E5E19">
        <w:rPr>
          <w:rFonts w:ascii="UnitPro-Light" w:hAnsi="UnitPro-Light" w:cs="UnitPro-Light"/>
          <w:spacing w:val="-6"/>
        </w:rPr>
        <w:t>autorizovaný inženýr pro dopravní stavby, číslo autorizace ČKAIT:</w:t>
      </w:r>
      <w:r w:rsidR="008D22F6" w:rsidRPr="008D22F6">
        <w:rPr>
          <w:rFonts w:ascii="UnitPro-Light" w:hAnsi="UnitPro-Light" w:cs="UnitPro-Light"/>
          <w:spacing w:val="-4"/>
        </w:rPr>
        <w:t xml:space="preserve"> </w:t>
      </w:r>
      <w:r w:rsidR="00946636" w:rsidRPr="006E5E19">
        <w:rPr>
          <w:rFonts w:ascii="UnitPro-Light" w:hAnsi="UnitPro-Light" w:cs="UnitPro-Light"/>
          <w:spacing w:val="-20"/>
        </w:rPr>
        <w:t>0012939</w:t>
      </w:r>
    </w:p>
    <w:p w14:paraId="2C86CD4A" w14:textId="77777777" w:rsidR="008D22F6" w:rsidRDefault="008D22F6" w:rsidP="008D22F6">
      <w:pPr>
        <w:contextualSpacing/>
        <w:rPr>
          <w:rFonts w:cs="UnitPro-Light"/>
        </w:rPr>
      </w:pPr>
      <w:r w:rsidRPr="00C745A6">
        <w:rPr>
          <w:rFonts w:ascii="UnitPro-Medi" w:hAnsi="UnitPro-Medi" w:cs="UnitPro-Medi"/>
        </w:rPr>
        <w:t xml:space="preserve">Ing. </w:t>
      </w:r>
      <w:r>
        <w:rPr>
          <w:rFonts w:ascii="UnitPro-Medi" w:hAnsi="UnitPro-Medi" w:cs="UnitPro-Medi"/>
        </w:rPr>
        <w:t>a</w:t>
      </w:r>
      <w:r w:rsidRPr="00C745A6">
        <w:rPr>
          <w:rFonts w:ascii="UnitPro-Medi" w:hAnsi="UnitPro-Medi" w:cs="UnitPro-Medi"/>
        </w:rPr>
        <w:t>rch. Kateřina Szentesiová</w:t>
      </w:r>
      <w:r w:rsidRPr="008113FF">
        <w:rPr>
          <w:rFonts w:ascii="UnitPro-Light" w:hAnsi="UnitPro-Light" w:cs="UnitPro-Light"/>
        </w:rPr>
        <w:t xml:space="preserve">, </w:t>
      </w:r>
      <w:r w:rsidRPr="00C04694">
        <w:rPr>
          <w:rFonts w:ascii="UnitPro-Light" w:hAnsi="UnitPro-Light" w:cs="UnitPro-Light"/>
        </w:rPr>
        <w:t>autorizovaný architekt, číslo autorizace ČKA: 1981</w:t>
      </w:r>
    </w:p>
    <w:p w14:paraId="5D2837E3" w14:textId="77777777" w:rsidR="00CD2AE8" w:rsidRDefault="00CD2AE8">
      <w:pPr>
        <w:rPr>
          <w:rFonts w:cs="UnitPro-Light"/>
        </w:rPr>
      </w:pPr>
    </w:p>
    <w:p w14:paraId="0C2E8026" w14:textId="094E6737" w:rsidR="00613320" w:rsidRDefault="00E22B7C" w:rsidP="004E5C05">
      <w:pPr>
        <w:tabs>
          <w:tab w:val="right" w:pos="8503"/>
        </w:tabs>
        <w:spacing w:after="1440" w:line="240" w:lineRule="auto"/>
        <w:rPr>
          <w:rFonts w:cs="UnitPro-Light"/>
        </w:rPr>
      </w:pPr>
      <w:r>
        <w:rPr>
          <w:rFonts w:ascii="UnitPro-Light" w:hAnsi="UnitPro-Light" w:cs="UnitPro-Light"/>
        </w:rPr>
        <w:t>Datum zpracování: 20</w:t>
      </w:r>
      <w:r w:rsidR="00660CEE">
        <w:rPr>
          <w:rFonts w:ascii="UnitPro-Light" w:hAnsi="UnitPro-Light" w:cs="UnitPro-Light"/>
        </w:rPr>
        <w:t>2</w:t>
      </w:r>
      <w:r w:rsidR="00C86E47">
        <w:rPr>
          <w:rFonts w:ascii="UnitPro-Light" w:hAnsi="UnitPro-Light" w:cs="UnitPro-Light"/>
        </w:rPr>
        <w:t>1</w:t>
      </w:r>
      <w:r w:rsidR="002D7B39">
        <w:rPr>
          <w:rFonts w:ascii="UnitPro-Light" w:hAnsi="UnitPro-Light" w:cs="UnitPro-Light"/>
        </w:rPr>
        <w:t>, aktualizace po veřejné</w:t>
      </w:r>
      <w:r w:rsidR="0016347E">
        <w:rPr>
          <w:rFonts w:ascii="UnitPro-Light" w:hAnsi="UnitPro-Light" w:cs="UnitPro-Light"/>
        </w:rPr>
        <w:t>m</w:t>
      </w:r>
      <w:r w:rsidR="002D7B39">
        <w:rPr>
          <w:rFonts w:ascii="UnitPro-Light" w:hAnsi="UnitPro-Light" w:cs="UnitPro-Light"/>
        </w:rPr>
        <w:t xml:space="preserve"> projednání </w:t>
      </w:r>
      <w:r w:rsidR="0016347E">
        <w:rPr>
          <w:rFonts w:ascii="UnitPro-Light" w:hAnsi="UnitPro-Light" w:cs="UnitPro-Light"/>
        </w:rPr>
        <w:t>2024</w:t>
      </w:r>
      <w:r w:rsidR="00613320">
        <w:rPr>
          <w:rFonts w:cs="UnitPro-Light"/>
        </w:rPr>
        <w:br w:type="page"/>
      </w:r>
    </w:p>
    <w:p w14:paraId="2BDB5A10" w14:textId="262FD791" w:rsidR="00613320" w:rsidRPr="00613320" w:rsidRDefault="00053FED" w:rsidP="00596BFA">
      <w:pPr>
        <w:pStyle w:val="Default"/>
        <w:spacing w:after="120"/>
        <w:rPr>
          <w:rFonts w:ascii="UnitPro-LightIta" w:hAnsi="UnitPro-LightIta" w:cs="UnitPro-LightIta"/>
          <w:sz w:val="20"/>
          <w:szCs w:val="20"/>
        </w:rPr>
      </w:pPr>
      <w:r>
        <w:rPr>
          <w:rFonts w:ascii="UnitPro-LightIta" w:hAnsi="UnitPro-LightIta" w:cs="UnitPro-LightIta"/>
          <w:iCs/>
          <w:sz w:val="20"/>
          <w:szCs w:val="20"/>
        </w:rPr>
        <w:lastRenderedPageBreak/>
        <w:t>Poznámka:</w:t>
      </w:r>
    </w:p>
    <w:p w14:paraId="0A7797E7" w14:textId="69A3E63B" w:rsidR="00613320" w:rsidRPr="00891963" w:rsidRDefault="00C95886" w:rsidP="00613320">
      <w:pPr>
        <w:rPr>
          <w:rFonts w:ascii="UnitPro-Medi" w:hAnsi="UnitPro-Medi" w:cs="UnitPro-Medi"/>
        </w:rPr>
      </w:pPr>
      <w:r>
        <w:rPr>
          <w:rFonts w:ascii="UnitPro-LightIta" w:hAnsi="UnitPro-LightIta" w:cs="UnitPro-LightIta"/>
          <w:iCs/>
          <w:sz w:val="20"/>
          <w:szCs w:val="20"/>
        </w:rPr>
        <w:t>Textová část obsahuje jen kapitol</w:t>
      </w:r>
      <w:r w:rsidR="00951F3A">
        <w:rPr>
          <w:rFonts w:ascii="UnitPro-LightIta" w:hAnsi="UnitPro-LightIta" w:cs="UnitPro-LightIta"/>
          <w:iCs/>
          <w:sz w:val="20"/>
          <w:szCs w:val="20"/>
        </w:rPr>
        <w:t>y</w:t>
      </w:r>
      <w:r>
        <w:rPr>
          <w:rFonts w:ascii="UnitPro-LightIta" w:hAnsi="UnitPro-LightIta" w:cs="UnitPro-LightIta"/>
          <w:iCs/>
          <w:sz w:val="20"/>
          <w:szCs w:val="20"/>
        </w:rPr>
        <w:t>, kter</w:t>
      </w:r>
      <w:r w:rsidR="00951F3A">
        <w:rPr>
          <w:rFonts w:ascii="UnitPro-LightIta" w:hAnsi="UnitPro-LightIta" w:cs="UnitPro-LightIta"/>
          <w:iCs/>
          <w:sz w:val="20"/>
          <w:szCs w:val="20"/>
        </w:rPr>
        <w:t>é</w:t>
      </w:r>
      <w:r>
        <w:rPr>
          <w:rFonts w:ascii="UnitPro-LightIta" w:hAnsi="UnitPro-LightIta" w:cs="UnitPro-LightIta"/>
          <w:iCs/>
          <w:sz w:val="20"/>
          <w:szCs w:val="20"/>
        </w:rPr>
        <w:t xml:space="preserve"> j</w:t>
      </w:r>
      <w:r w:rsidR="00951F3A">
        <w:rPr>
          <w:rFonts w:ascii="UnitPro-LightIta" w:hAnsi="UnitPro-LightIta" w:cs="UnitPro-LightIta"/>
          <w:iCs/>
          <w:sz w:val="20"/>
          <w:szCs w:val="20"/>
        </w:rPr>
        <w:t>sou</w:t>
      </w:r>
      <w:r>
        <w:rPr>
          <w:rFonts w:ascii="UnitPro-LightIta" w:hAnsi="UnitPro-LightIta" w:cs="UnitPro-LightIta"/>
          <w:iCs/>
          <w:sz w:val="20"/>
          <w:szCs w:val="20"/>
        </w:rPr>
        <w:t xml:space="preserve"> předmětem Aktualizace č. </w:t>
      </w:r>
      <w:r w:rsidR="00C86E47">
        <w:rPr>
          <w:rFonts w:ascii="UnitPro-LightIta" w:hAnsi="UnitPro-LightIta" w:cs="UnitPro-LightIta"/>
          <w:iCs/>
          <w:sz w:val="20"/>
          <w:szCs w:val="20"/>
        </w:rPr>
        <w:t>10</w:t>
      </w:r>
      <w:r>
        <w:rPr>
          <w:rFonts w:ascii="UnitPro-LightIta" w:hAnsi="UnitPro-LightIta" w:cs="UnitPro-LightIta"/>
          <w:iCs/>
          <w:sz w:val="20"/>
          <w:szCs w:val="20"/>
        </w:rPr>
        <w:t xml:space="preserve"> ZÚR hl. m. Prahy. Čísla kapitol odpovídají číslům kapitol platných ZÚR hl. m. Prahy (právní stav k </w:t>
      </w:r>
      <w:r w:rsidR="00D85B1E">
        <w:rPr>
          <w:rFonts w:ascii="UnitPro-LightIta" w:hAnsi="UnitPro-LightIta" w:cs="UnitPro-LightIta"/>
          <w:iCs/>
          <w:sz w:val="20"/>
          <w:szCs w:val="20"/>
        </w:rPr>
        <w:t>2</w:t>
      </w:r>
      <w:r w:rsidR="00227C02">
        <w:rPr>
          <w:rFonts w:ascii="UnitPro-LightIta" w:hAnsi="UnitPro-LightIta" w:cs="UnitPro-LightIta"/>
          <w:iCs/>
          <w:sz w:val="20"/>
          <w:szCs w:val="20"/>
        </w:rPr>
        <w:t xml:space="preserve">7. </w:t>
      </w:r>
      <w:r w:rsidR="00D85B1E">
        <w:rPr>
          <w:rFonts w:ascii="UnitPro-LightIta" w:hAnsi="UnitPro-LightIta" w:cs="UnitPro-LightIta"/>
          <w:iCs/>
          <w:sz w:val="20"/>
          <w:szCs w:val="20"/>
        </w:rPr>
        <w:t>12</w:t>
      </w:r>
      <w:r w:rsidR="00227C02">
        <w:rPr>
          <w:rFonts w:ascii="UnitPro-LightIta" w:hAnsi="UnitPro-LightIta" w:cs="UnitPro-LightIta"/>
          <w:iCs/>
          <w:sz w:val="20"/>
          <w:szCs w:val="20"/>
        </w:rPr>
        <w:t>. 2021</w:t>
      </w:r>
      <w:r>
        <w:rPr>
          <w:rFonts w:ascii="UnitPro-LightIta" w:hAnsi="UnitPro-LightIta" w:cs="UnitPro-LightIta"/>
          <w:iCs/>
          <w:sz w:val="20"/>
          <w:szCs w:val="20"/>
        </w:rPr>
        <w:t>).</w:t>
      </w:r>
    </w:p>
    <w:p w14:paraId="0D92F23D" w14:textId="2F92FBE7" w:rsidR="00932119" w:rsidRDefault="00613320" w:rsidP="00613320">
      <w:pPr>
        <w:spacing w:after="80"/>
        <w:rPr>
          <w:rFonts w:ascii="UnitPro-Light" w:hAnsi="UnitPro-Light" w:cs="UnitPro-Light"/>
        </w:rPr>
      </w:pPr>
      <w:r>
        <w:rPr>
          <w:b/>
          <w:sz w:val="44"/>
        </w:rPr>
        <w:br w:type="page"/>
      </w:r>
      <w:r w:rsidR="00932119" w:rsidRPr="00372C1D">
        <w:rPr>
          <w:rFonts w:ascii="UnitPro-Light" w:hAnsi="UnitPro-Light" w:cs="UnitPro-Light"/>
        </w:rPr>
        <w:lastRenderedPageBreak/>
        <w:t>Zásady územního rozvoje hl. m. Prahy, vydané opatřením obecné povahy č. 8/2009 dne 17.</w:t>
      </w:r>
      <w:r w:rsidR="002B30F1" w:rsidRPr="00372C1D">
        <w:rPr>
          <w:rFonts w:ascii="UnitPro-Light" w:hAnsi="UnitPro-Light" w:cs="UnitPro-Light"/>
        </w:rPr>
        <w:t> </w:t>
      </w:r>
      <w:r w:rsidR="00932119" w:rsidRPr="00372C1D">
        <w:rPr>
          <w:rFonts w:ascii="UnitPro-Light" w:hAnsi="UnitPro-Light" w:cs="UnitPro-Light"/>
        </w:rPr>
        <w:t>12.</w:t>
      </w:r>
      <w:r w:rsidR="002B30F1" w:rsidRPr="00372C1D">
        <w:rPr>
          <w:rFonts w:ascii="UnitPro-Light" w:hAnsi="UnitPro-Light" w:cs="UnitPro-Light"/>
        </w:rPr>
        <w:t> </w:t>
      </w:r>
      <w:r w:rsidR="00932119" w:rsidRPr="00372C1D">
        <w:rPr>
          <w:rFonts w:ascii="UnitPro-Light" w:hAnsi="UnitPro-Light" w:cs="UnitPro-Light"/>
        </w:rPr>
        <w:t xml:space="preserve">2009 usnesením Zastupitelstva hl. m. Prahy č. 32/59 </w:t>
      </w:r>
      <w:r w:rsidR="00550AE3" w:rsidRPr="00372C1D">
        <w:rPr>
          <w:rFonts w:ascii="UnitPro-Light" w:hAnsi="UnitPro-Light" w:cs="UnitPro-Light"/>
        </w:rPr>
        <w:t xml:space="preserve">ve znění </w:t>
      </w:r>
      <w:r w:rsidR="00932119" w:rsidRPr="00372C1D">
        <w:rPr>
          <w:rFonts w:ascii="UnitPro-Light" w:hAnsi="UnitPro-Light" w:cs="UnitPro-Light"/>
        </w:rPr>
        <w:t xml:space="preserve">Aktualizace č. </w:t>
      </w:r>
      <w:r w:rsidR="00D85B1E">
        <w:rPr>
          <w:rFonts w:ascii="UnitPro-Light" w:hAnsi="UnitPro-Light" w:cs="UnitPro-Light"/>
        </w:rPr>
        <w:t>7</w:t>
      </w:r>
      <w:r w:rsidR="00932119" w:rsidRPr="00372C1D">
        <w:rPr>
          <w:rFonts w:ascii="UnitPro-Light" w:hAnsi="UnitPro-Light" w:cs="UnitPro-Light"/>
        </w:rPr>
        <w:t xml:space="preserve"> Zásad územního rozvoje hl. m. Prahy, vydan</w:t>
      </w:r>
      <w:r w:rsidR="00550AE3" w:rsidRPr="00372C1D">
        <w:rPr>
          <w:rFonts w:ascii="UnitPro-Light" w:hAnsi="UnitPro-Light" w:cs="UnitPro-Light"/>
        </w:rPr>
        <w:t>é</w:t>
      </w:r>
      <w:r w:rsidR="00932119" w:rsidRPr="00372C1D">
        <w:rPr>
          <w:rFonts w:ascii="UnitPro-Light" w:hAnsi="UnitPro-Light" w:cs="UnitPro-Light"/>
        </w:rPr>
        <w:t xml:space="preserve"> opatřením obecné povahy č. </w:t>
      </w:r>
      <w:r w:rsidR="00D85B1E" w:rsidRPr="00D85B1E">
        <w:rPr>
          <w:rFonts w:ascii="UnitPro-Light" w:hAnsi="UnitPro-Light" w:cs="UnitPro-Light"/>
        </w:rPr>
        <w:t>116/2021</w:t>
      </w:r>
      <w:r w:rsidR="00932119" w:rsidRPr="00372C1D">
        <w:rPr>
          <w:rFonts w:ascii="UnitPro-Light" w:hAnsi="UnitPro-Light" w:cs="UnitPro-Light"/>
        </w:rPr>
        <w:t xml:space="preserve"> dne </w:t>
      </w:r>
      <w:r w:rsidR="00D85B1E">
        <w:rPr>
          <w:rFonts w:ascii="UnitPro-Light" w:hAnsi="UnitPro-Light" w:cs="UnitPro-Light"/>
        </w:rPr>
        <w:t>9</w:t>
      </w:r>
      <w:r w:rsidR="00932119" w:rsidRPr="00372C1D">
        <w:rPr>
          <w:rFonts w:ascii="UnitPro-Light" w:hAnsi="UnitPro-Light" w:cs="UnitPro-Light"/>
        </w:rPr>
        <w:t>.</w:t>
      </w:r>
      <w:r w:rsidR="00D85B1E">
        <w:rPr>
          <w:rFonts w:ascii="UnitPro-Light" w:hAnsi="UnitPro-Light" w:cs="UnitPro-Light"/>
        </w:rPr>
        <w:t> 9</w:t>
      </w:r>
      <w:r w:rsidR="00932119" w:rsidRPr="00372C1D">
        <w:rPr>
          <w:rFonts w:ascii="UnitPro-Light" w:hAnsi="UnitPro-Light" w:cs="UnitPro-Light"/>
        </w:rPr>
        <w:t>. 20</w:t>
      </w:r>
      <w:r w:rsidR="00227C02">
        <w:rPr>
          <w:rFonts w:ascii="UnitPro-Light" w:hAnsi="UnitPro-Light" w:cs="UnitPro-Light"/>
        </w:rPr>
        <w:t>21</w:t>
      </w:r>
      <w:r w:rsidR="00932119" w:rsidRPr="00372C1D">
        <w:rPr>
          <w:rFonts w:ascii="UnitPro-Light" w:hAnsi="UnitPro-Light" w:cs="UnitPro-Light"/>
        </w:rPr>
        <w:t xml:space="preserve"> usnesením Zastupitelstva hl. m. P</w:t>
      </w:r>
      <w:r w:rsidR="00E22B7C" w:rsidRPr="00372C1D">
        <w:rPr>
          <w:rFonts w:ascii="UnitPro-Light" w:hAnsi="UnitPro-Light" w:cs="UnitPro-Light"/>
        </w:rPr>
        <w:t xml:space="preserve">rahy č. </w:t>
      </w:r>
      <w:r w:rsidR="00227C02">
        <w:rPr>
          <w:rFonts w:ascii="UnitPro-Light" w:hAnsi="UnitPro-Light" w:cs="UnitPro-Light"/>
        </w:rPr>
        <w:t>2</w:t>
      </w:r>
      <w:r w:rsidR="00D85B1E">
        <w:rPr>
          <w:rFonts w:ascii="UnitPro-Light" w:hAnsi="UnitPro-Light" w:cs="UnitPro-Light"/>
        </w:rPr>
        <w:t>9</w:t>
      </w:r>
      <w:r w:rsidR="00E22B7C" w:rsidRPr="00372C1D">
        <w:rPr>
          <w:rFonts w:ascii="UnitPro-Light" w:hAnsi="UnitPro-Light" w:cs="UnitPro-Light"/>
        </w:rPr>
        <w:t>/</w:t>
      </w:r>
      <w:r w:rsidR="00D85B1E">
        <w:rPr>
          <w:rFonts w:ascii="UnitPro-Light" w:hAnsi="UnitPro-Light" w:cs="UnitPro-Light"/>
        </w:rPr>
        <w:t xml:space="preserve">18 a ve </w:t>
      </w:r>
      <w:r w:rsidR="00D85B1E" w:rsidRPr="00372C1D">
        <w:rPr>
          <w:rFonts w:ascii="UnitPro-Light" w:hAnsi="UnitPro-Light" w:cs="UnitPro-Light"/>
        </w:rPr>
        <w:t xml:space="preserve">znění Aktualizace č. </w:t>
      </w:r>
      <w:r w:rsidR="00D85B1E">
        <w:rPr>
          <w:rFonts w:ascii="UnitPro-Light" w:hAnsi="UnitPro-Light" w:cs="UnitPro-Light"/>
        </w:rPr>
        <w:t>6</w:t>
      </w:r>
      <w:r w:rsidR="00D85B1E" w:rsidRPr="00372C1D">
        <w:rPr>
          <w:rFonts w:ascii="UnitPro-Light" w:hAnsi="UnitPro-Light" w:cs="UnitPro-Light"/>
        </w:rPr>
        <w:t xml:space="preserve"> Zásad územního rozvoje hl. m. Prahy, vydané opatřením obecné povahy č. </w:t>
      </w:r>
      <w:r w:rsidR="00D85B1E" w:rsidRPr="00D85B1E">
        <w:rPr>
          <w:rFonts w:ascii="UnitPro-Light" w:hAnsi="UnitPro-Light" w:cs="UnitPro-Light"/>
        </w:rPr>
        <w:t>1</w:t>
      </w:r>
      <w:r w:rsidR="00D85B1E">
        <w:rPr>
          <w:rFonts w:ascii="UnitPro-Light" w:hAnsi="UnitPro-Light" w:cs="UnitPro-Light"/>
        </w:rPr>
        <w:t>21</w:t>
      </w:r>
      <w:r w:rsidR="00D85B1E" w:rsidRPr="00D85B1E">
        <w:rPr>
          <w:rFonts w:ascii="UnitPro-Light" w:hAnsi="UnitPro-Light" w:cs="UnitPro-Light"/>
        </w:rPr>
        <w:t>/2021</w:t>
      </w:r>
      <w:r w:rsidR="00D85B1E" w:rsidRPr="00372C1D">
        <w:rPr>
          <w:rFonts w:ascii="UnitPro-Light" w:hAnsi="UnitPro-Light" w:cs="UnitPro-Light"/>
        </w:rPr>
        <w:t xml:space="preserve"> dne </w:t>
      </w:r>
      <w:r w:rsidR="00D85B1E">
        <w:rPr>
          <w:rFonts w:ascii="UnitPro-Light" w:hAnsi="UnitPro-Light" w:cs="UnitPro-Light"/>
        </w:rPr>
        <w:t>14</w:t>
      </w:r>
      <w:r w:rsidR="00D85B1E" w:rsidRPr="00372C1D">
        <w:rPr>
          <w:rFonts w:ascii="UnitPro-Light" w:hAnsi="UnitPro-Light" w:cs="UnitPro-Light"/>
        </w:rPr>
        <w:t>.</w:t>
      </w:r>
      <w:r w:rsidR="00D85B1E">
        <w:rPr>
          <w:rFonts w:ascii="UnitPro-Light" w:hAnsi="UnitPro-Light" w:cs="UnitPro-Light"/>
        </w:rPr>
        <w:t> 10</w:t>
      </w:r>
      <w:r w:rsidR="00D85B1E" w:rsidRPr="00372C1D">
        <w:rPr>
          <w:rFonts w:ascii="UnitPro-Light" w:hAnsi="UnitPro-Light" w:cs="UnitPro-Light"/>
        </w:rPr>
        <w:t>. 20</w:t>
      </w:r>
      <w:r w:rsidR="00D85B1E">
        <w:rPr>
          <w:rFonts w:ascii="UnitPro-Light" w:hAnsi="UnitPro-Light" w:cs="UnitPro-Light"/>
        </w:rPr>
        <w:t>21</w:t>
      </w:r>
      <w:r w:rsidR="00D85B1E" w:rsidRPr="00372C1D">
        <w:rPr>
          <w:rFonts w:ascii="UnitPro-Light" w:hAnsi="UnitPro-Light" w:cs="UnitPro-Light"/>
        </w:rPr>
        <w:t xml:space="preserve"> usnesením Zastupitelstva hl. m. Prahy č. </w:t>
      </w:r>
      <w:r w:rsidR="00D85B1E">
        <w:rPr>
          <w:rFonts w:ascii="UnitPro-Light" w:hAnsi="UnitPro-Light" w:cs="UnitPro-Light"/>
        </w:rPr>
        <w:t>30</w:t>
      </w:r>
      <w:r w:rsidR="00D85B1E" w:rsidRPr="00372C1D">
        <w:rPr>
          <w:rFonts w:ascii="UnitPro-Light" w:hAnsi="UnitPro-Light" w:cs="UnitPro-Light"/>
        </w:rPr>
        <w:t>/</w:t>
      </w:r>
      <w:r w:rsidR="00D85B1E">
        <w:rPr>
          <w:rFonts w:ascii="UnitPro-Light" w:hAnsi="UnitPro-Light" w:cs="UnitPro-Light"/>
        </w:rPr>
        <w:t>14</w:t>
      </w:r>
      <w:r w:rsidR="00D85B1E" w:rsidRPr="00372C1D">
        <w:rPr>
          <w:rFonts w:ascii="UnitPro-Light" w:hAnsi="UnitPro-Light" w:cs="UnitPro-Light"/>
        </w:rPr>
        <w:t xml:space="preserve"> </w:t>
      </w:r>
      <w:r w:rsidR="00372C1D" w:rsidRPr="00372C1D">
        <w:rPr>
          <w:rFonts w:ascii="UnitPro-Light" w:hAnsi="UnitPro-Light" w:cs="UnitPro-Light"/>
        </w:rPr>
        <w:t>(právní stav k </w:t>
      </w:r>
      <w:r w:rsidR="00D85B1E">
        <w:rPr>
          <w:rFonts w:ascii="UnitPro-Light" w:hAnsi="UnitPro-Light" w:cs="UnitPro-Light"/>
        </w:rPr>
        <w:t>2</w:t>
      </w:r>
      <w:r w:rsidR="00227C02">
        <w:rPr>
          <w:rFonts w:ascii="UnitPro-Light" w:hAnsi="UnitPro-Light" w:cs="UnitPro-Light"/>
        </w:rPr>
        <w:t>7</w:t>
      </w:r>
      <w:r w:rsidR="00372C1D" w:rsidRPr="00372C1D">
        <w:rPr>
          <w:rFonts w:ascii="UnitPro-Light" w:hAnsi="UnitPro-Light" w:cs="UnitPro-Light"/>
        </w:rPr>
        <w:t xml:space="preserve">. </w:t>
      </w:r>
      <w:r w:rsidR="00D85B1E">
        <w:rPr>
          <w:rFonts w:ascii="UnitPro-Light" w:hAnsi="UnitPro-Light" w:cs="UnitPro-Light"/>
        </w:rPr>
        <w:t>12</w:t>
      </w:r>
      <w:r w:rsidR="00372C1D" w:rsidRPr="00372C1D">
        <w:rPr>
          <w:rFonts w:ascii="UnitPro-Light" w:hAnsi="UnitPro-Light" w:cs="UnitPro-Light"/>
        </w:rPr>
        <w:t>. 20</w:t>
      </w:r>
      <w:r w:rsidR="00227C02">
        <w:rPr>
          <w:rFonts w:ascii="UnitPro-Light" w:hAnsi="UnitPro-Light" w:cs="UnitPro-Light"/>
        </w:rPr>
        <w:t>21</w:t>
      </w:r>
      <w:r w:rsidR="00372C1D" w:rsidRPr="00372C1D">
        <w:rPr>
          <w:rFonts w:ascii="UnitPro-Light" w:hAnsi="UnitPro-Light" w:cs="UnitPro-Light"/>
        </w:rPr>
        <w:t>)</w:t>
      </w:r>
      <w:r w:rsidR="00D85B1E">
        <w:rPr>
          <w:rFonts w:ascii="UnitPro-Light" w:hAnsi="UnitPro-Light" w:cs="UnitPro-Light"/>
        </w:rPr>
        <w:t>,</w:t>
      </w:r>
      <w:r w:rsidR="00372C1D" w:rsidRPr="00372C1D">
        <w:rPr>
          <w:rFonts w:ascii="UnitPro-Light" w:hAnsi="UnitPro-Light" w:cs="UnitPro-Light"/>
        </w:rPr>
        <w:t xml:space="preserve"> </w:t>
      </w:r>
      <w:r w:rsidR="00E22B7C" w:rsidRPr="00372C1D">
        <w:rPr>
          <w:rFonts w:ascii="UnitPro-Light" w:hAnsi="UnitPro-Light" w:cs="UnitPro-Light"/>
        </w:rPr>
        <w:t xml:space="preserve">se Aktualizací č. </w:t>
      </w:r>
      <w:r w:rsidR="00C86E47">
        <w:rPr>
          <w:rFonts w:ascii="UnitPro-Light" w:hAnsi="UnitPro-Light" w:cs="UnitPro-Light"/>
        </w:rPr>
        <w:t>10</w:t>
      </w:r>
      <w:r w:rsidR="00932119" w:rsidRPr="00372C1D">
        <w:rPr>
          <w:rFonts w:ascii="UnitPro-Light" w:hAnsi="UnitPro-Light" w:cs="UnitPro-Light"/>
        </w:rPr>
        <w:t xml:space="preserve"> </w:t>
      </w:r>
      <w:r w:rsidR="00736227">
        <w:rPr>
          <w:rFonts w:ascii="UnitPro-Light" w:hAnsi="UnitPro-Light" w:cs="UnitPro-Light"/>
        </w:rPr>
        <w:t xml:space="preserve">mění </w:t>
      </w:r>
      <w:r w:rsidR="00C95886">
        <w:rPr>
          <w:rFonts w:ascii="UnitPro-Light" w:hAnsi="UnitPro-Light" w:cs="UnitPro-Light"/>
        </w:rPr>
        <w:t>takto:</w:t>
      </w:r>
    </w:p>
    <w:p w14:paraId="6EA21EBA" w14:textId="0E995D53" w:rsidR="00D1629B" w:rsidRDefault="00C95886" w:rsidP="00D1629B">
      <w:pPr>
        <w:pStyle w:val="Odstavecseseznamem"/>
        <w:numPr>
          <w:ilvl w:val="0"/>
          <w:numId w:val="7"/>
        </w:numPr>
        <w:spacing w:after="80"/>
        <w:ind w:left="357" w:hanging="357"/>
        <w:contextualSpacing w:val="0"/>
        <w:rPr>
          <w:rFonts w:ascii="UnitPro-Light" w:hAnsi="UnitPro-Light" w:cs="UnitPro-Light"/>
        </w:rPr>
      </w:pPr>
      <w:r w:rsidRPr="00D1629B">
        <w:rPr>
          <w:rFonts w:ascii="UnitPro-Light" w:hAnsi="UnitPro-Light" w:cs="UnitPro-Light"/>
        </w:rPr>
        <w:t>V Kapitole 5. Zpřesnění ploch a koridorů vy</w:t>
      </w:r>
      <w:r w:rsidR="00F51A96" w:rsidRPr="00D1629B">
        <w:rPr>
          <w:rFonts w:ascii="UnitPro-Light" w:hAnsi="UnitPro-Light" w:cs="UnitPro-Light"/>
        </w:rPr>
        <w:t>me</w:t>
      </w:r>
      <w:r w:rsidRPr="00D1629B">
        <w:rPr>
          <w:rFonts w:ascii="UnitPro-Light" w:hAnsi="UnitPro-Light" w:cs="UnitPro-Light"/>
        </w:rPr>
        <w:t xml:space="preserve">zených v politice územního rozvoje a vymezení ploch a koridorů </w:t>
      </w:r>
      <w:r w:rsidR="0004661A" w:rsidRPr="00D1629B">
        <w:rPr>
          <w:rFonts w:ascii="UnitPro-Light" w:hAnsi="UnitPro-Light" w:cs="UnitPro-Light"/>
        </w:rPr>
        <w:t>nadmístního a celoměstského významu – dopravní infrastruktura, v kapitole 5.</w:t>
      </w:r>
      <w:r w:rsidR="00D1629B" w:rsidRPr="00D1629B">
        <w:rPr>
          <w:rFonts w:ascii="UnitPro-Light" w:hAnsi="UnitPro-Light" w:cs="UnitPro-Light"/>
        </w:rPr>
        <w:t>2</w:t>
      </w:r>
      <w:r w:rsidR="0004661A" w:rsidRPr="00D1629B">
        <w:rPr>
          <w:rFonts w:ascii="UnitPro-Light" w:hAnsi="UnitPro-Light" w:cs="UnitPro-Light"/>
        </w:rPr>
        <w:t> </w:t>
      </w:r>
      <w:r w:rsidR="00D1629B" w:rsidRPr="00D1629B">
        <w:rPr>
          <w:rFonts w:ascii="UnitPro-Light" w:hAnsi="UnitPro-Light" w:cs="UnitPro-Light"/>
        </w:rPr>
        <w:t>Koridory a plochy pro železniční dopravu vymezené v</w:t>
      </w:r>
      <w:r w:rsidR="00D1629B">
        <w:t> </w:t>
      </w:r>
      <w:r w:rsidR="00D1629B" w:rsidRPr="00D1629B">
        <w:rPr>
          <w:rFonts w:ascii="UnitPro-Light" w:hAnsi="UnitPro-Light" w:cs="UnitPro-Light"/>
        </w:rPr>
        <w:t>Zásadách územního rozvoje hl. m. Prahy</w:t>
      </w:r>
      <w:r w:rsidR="0004661A" w:rsidRPr="00D1629B">
        <w:rPr>
          <w:rFonts w:ascii="UnitPro-Light" w:hAnsi="UnitPro-Light" w:cs="UnitPro-Light"/>
        </w:rPr>
        <w:t xml:space="preserve">, v oddílu </w:t>
      </w:r>
      <w:r w:rsidR="00D1629B" w:rsidRPr="00D1629B">
        <w:rPr>
          <w:rFonts w:ascii="UnitPro-Light" w:hAnsi="UnitPro-Light" w:cs="UnitPro-Light"/>
        </w:rPr>
        <w:t>5.2.6.1 Koridor územní rezervy vysokorychlostní tratě Praha-Brno-hranice ČR-(</w:t>
      </w:r>
      <w:proofErr w:type="spellStart"/>
      <w:r w:rsidR="00D1629B" w:rsidRPr="00D1629B">
        <w:rPr>
          <w:rFonts w:ascii="UnitPro-Light" w:hAnsi="UnitPro-Light" w:cs="UnitPro-Light"/>
        </w:rPr>
        <w:t>Wien</w:t>
      </w:r>
      <w:proofErr w:type="spellEnd"/>
      <w:r w:rsidR="00D1629B" w:rsidRPr="00D1629B">
        <w:rPr>
          <w:rFonts w:ascii="UnitPro-Light" w:hAnsi="UnitPro-Light" w:cs="UnitPro-Light"/>
        </w:rPr>
        <w:t>/Bratislava)</w:t>
      </w:r>
      <w:r w:rsidR="00D1629B">
        <w:rPr>
          <w:rFonts w:ascii="UnitPro-Light" w:hAnsi="UnitPro-Light" w:cs="UnitPro-Light"/>
        </w:rPr>
        <w:t xml:space="preserve"> </w:t>
      </w:r>
      <w:r w:rsidR="00D1629B" w:rsidRPr="00D1629B">
        <w:rPr>
          <w:rFonts w:ascii="UnitPro-Light" w:hAnsi="UnitPro-Light" w:cs="UnitPro-Light"/>
          <w:u w:val="single"/>
        </w:rPr>
        <w:t>se text mění takto</w:t>
      </w:r>
      <w:r w:rsidR="00D1629B">
        <w:rPr>
          <w:rFonts w:ascii="UnitPro-Light" w:hAnsi="UnitPro-Light" w:cs="UnitPro-Light"/>
        </w:rPr>
        <w:t>:</w:t>
      </w:r>
    </w:p>
    <w:p w14:paraId="1BBF05D5" w14:textId="070F393E" w:rsidR="00086ACC" w:rsidRPr="00086ACC" w:rsidRDefault="00C008D8" w:rsidP="00086ACC">
      <w:pPr>
        <w:keepNext/>
        <w:keepLines/>
        <w:spacing w:before="40" w:after="0"/>
        <w:outlineLvl w:val="3"/>
        <w:rPr>
          <w:rFonts w:ascii="UnitPro-Light" w:eastAsiaTheme="majorEastAsia" w:hAnsi="UnitPro-Light" w:cs="UnitPro-Light"/>
          <w:b/>
          <w:iCs/>
        </w:rPr>
      </w:pPr>
      <w:bookmarkStart w:id="0" w:name="_Toc48573812"/>
      <w:r w:rsidRPr="00C008D8">
        <w:rPr>
          <w:rFonts w:ascii="UnitPro-Medi" w:hAnsi="UnitPro-Medi" w:cs="UnitPro-Medi"/>
          <w:b/>
        </w:rPr>
        <w:t>„</w:t>
      </w:r>
      <w:r w:rsidR="00086ACC" w:rsidRPr="00086ACC">
        <w:rPr>
          <w:rFonts w:ascii="UnitPro-Light" w:eastAsiaTheme="majorEastAsia" w:hAnsi="UnitPro-Light" w:cs="UnitPro-Light"/>
          <w:b/>
          <w:iCs/>
        </w:rPr>
        <w:t>5.2.6.1 Koridor Východního vstupu Rychlého spojení</w:t>
      </w:r>
    </w:p>
    <w:bookmarkEnd w:id="0"/>
    <w:p w14:paraId="74BB338E" w14:textId="033AFB58" w:rsidR="00086ACC" w:rsidRPr="00086ACC" w:rsidRDefault="00D1629B" w:rsidP="00D1629B">
      <w:pPr>
        <w:rPr>
          <w:rFonts w:ascii="UnitPro-Light" w:hAnsi="UnitPro-Light" w:cs="UnitPro-Light"/>
        </w:rPr>
      </w:pPr>
      <w:r w:rsidRPr="00086ACC">
        <w:rPr>
          <w:rFonts w:ascii="UnitPro-Light" w:hAnsi="UnitPro-Light" w:cs="UnitPro-Light"/>
          <w:bCs/>
          <w:iCs/>
        </w:rPr>
        <w:t>Vymezení</w:t>
      </w:r>
      <w:r w:rsidR="0037143C" w:rsidRPr="00086ACC">
        <w:rPr>
          <w:rFonts w:ascii="UnitPro-Light" w:hAnsi="UnitPro-Light" w:cs="UnitPro-Light"/>
          <w:bCs/>
          <w:iCs/>
        </w:rPr>
        <w:t>:</w:t>
      </w:r>
      <w:r w:rsidRPr="00086ACC">
        <w:rPr>
          <w:rFonts w:ascii="UnitPro-Light" w:hAnsi="UnitPro-Light" w:cs="UnitPro-Light"/>
        </w:rPr>
        <w:t xml:space="preserve"> </w:t>
      </w:r>
      <w:r w:rsidR="00086ACC" w:rsidRPr="00086ACC">
        <w:rPr>
          <w:rFonts w:ascii="UnitPro-Light" w:eastAsiaTheme="majorEastAsia" w:hAnsi="UnitPro-Light" w:cs="UnitPro-Light"/>
          <w:iCs/>
        </w:rPr>
        <w:t>Koridor pro vysokorychlostní trať je vymezen z</w:t>
      </w:r>
      <w:r w:rsidR="003B050B">
        <w:rPr>
          <w:rFonts w:ascii="UnitPro-Light" w:eastAsiaTheme="majorEastAsia" w:hAnsi="UnitPro-Light" w:cs="UnitPro-Light"/>
          <w:iCs/>
        </w:rPr>
        <w:t> </w:t>
      </w:r>
      <w:r w:rsidR="00086ACC" w:rsidRPr="00086ACC">
        <w:rPr>
          <w:rFonts w:ascii="UnitPro-Light" w:eastAsiaTheme="majorEastAsia" w:hAnsi="UnitPro-Light" w:cs="UnitPro-Light"/>
          <w:iCs/>
        </w:rPr>
        <w:t>železniční stanice Praha-Běchovice, odkud vede severovýchodním směrem k</w:t>
      </w:r>
      <w:r w:rsidR="003B050B">
        <w:rPr>
          <w:rFonts w:ascii="UnitPro-Light" w:eastAsiaTheme="majorEastAsia" w:hAnsi="UnitPro-Light" w:cs="UnitPro-Light"/>
          <w:iCs/>
        </w:rPr>
        <w:t> </w:t>
      </w:r>
      <w:r w:rsidR="00086ACC" w:rsidRPr="00086ACC">
        <w:rPr>
          <w:rFonts w:ascii="UnitPro-Light" w:eastAsiaTheme="majorEastAsia" w:hAnsi="UnitPro-Light" w:cs="UnitPro-Light"/>
          <w:iCs/>
        </w:rPr>
        <w:t>hranici hl. m. Prahy do souběhu s</w:t>
      </w:r>
      <w:r w:rsidR="003B050B">
        <w:rPr>
          <w:rFonts w:ascii="UnitPro-Light" w:eastAsiaTheme="majorEastAsia" w:hAnsi="UnitPro-Light" w:cs="UnitPro-Light"/>
          <w:iCs/>
        </w:rPr>
        <w:t> </w:t>
      </w:r>
      <w:r w:rsidR="00086ACC" w:rsidRPr="00086ACC">
        <w:rPr>
          <w:rFonts w:ascii="UnitPro-Light" w:eastAsiaTheme="majorEastAsia" w:hAnsi="UnitPro-Light" w:cs="UnitPro-Light"/>
          <w:iCs/>
        </w:rPr>
        <w:t>dálnicí D11.</w:t>
      </w:r>
    </w:p>
    <w:p w14:paraId="2B5F2AA4" w14:textId="77777777" w:rsidR="00D1629B" w:rsidRPr="00D1629B" w:rsidRDefault="00D1629B" w:rsidP="00D1629B">
      <w:pPr>
        <w:keepNext/>
        <w:keepLines/>
        <w:spacing w:before="40" w:after="0"/>
        <w:outlineLvl w:val="5"/>
        <w:rPr>
          <w:rFonts w:ascii="UnitPro-Light" w:eastAsiaTheme="majorEastAsia" w:hAnsi="UnitPro-Light" w:cs="UnitPro-Light"/>
          <w:b/>
        </w:rPr>
      </w:pPr>
      <w:r w:rsidRPr="00D1629B">
        <w:rPr>
          <w:rFonts w:ascii="UnitPro-Light" w:eastAsiaTheme="majorEastAsia" w:hAnsi="UnitPro-Light" w:cs="UnitPro-Light"/>
          <w:b/>
        </w:rPr>
        <w:t>Podmínky pro následné rozhodování o změnách v území:</w:t>
      </w:r>
    </w:p>
    <w:p w14:paraId="00505A11" w14:textId="0B72CBC8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umístění železniční dráhy jako součásti systému rychlých spojení včetně souvisejících staveb a vyvolaných přeložek technické a dopravní infrastruktury</w:t>
      </w:r>
      <w:r>
        <w:rPr>
          <w:rFonts w:ascii="UnitPro-Light" w:hAnsi="UnitPro-Light" w:cs="UnitPro-Light"/>
        </w:rPr>
        <w:t>,</w:t>
      </w:r>
    </w:p>
    <w:p w14:paraId="4E006BBB" w14:textId="6EC6E19D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vzájemné propojení a zajištění kompatibility železniční dráhy se stávajícími železničními tratěmi</w:t>
      </w:r>
      <w:r>
        <w:rPr>
          <w:rFonts w:ascii="UnitPro-Light" w:hAnsi="UnitPro-Light" w:cs="UnitPro-Light"/>
        </w:rPr>
        <w:t>,</w:t>
      </w:r>
    </w:p>
    <w:p w14:paraId="5ECA45F6" w14:textId="173230D7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vedení železniční dráhy tunelem v prostoru Běchovic</w:t>
      </w:r>
      <w:r>
        <w:rPr>
          <w:rFonts w:ascii="UnitPro-Light" w:hAnsi="UnitPro-Light" w:cs="UnitPro-Light"/>
        </w:rPr>
        <w:t>,</w:t>
      </w:r>
    </w:p>
    <w:p w14:paraId="7B8877AD" w14:textId="1D024D3A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technické řešení nezhoršující průchod povodňových vln a odtokových poměrů</w:t>
      </w:r>
      <w:r>
        <w:rPr>
          <w:rFonts w:ascii="UnitPro-Light" w:hAnsi="UnitPro-Light" w:cs="UnitPro-Light"/>
        </w:rPr>
        <w:t>,</w:t>
      </w:r>
    </w:p>
    <w:p w14:paraId="7C597B5D" w14:textId="74E5EBEA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zachování stávajících dopravních vazeb v</w:t>
      </w:r>
      <w:r>
        <w:rPr>
          <w:rFonts w:ascii="UnitPro-Light" w:hAnsi="UnitPro-Light" w:cs="UnitPro-Light"/>
        </w:rPr>
        <w:t> </w:t>
      </w:r>
      <w:r w:rsidRPr="001C45D4">
        <w:rPr>
          <w:rFonts w:ascii="UnitPro-Light" w:hAnsi="UnitPro-Light" w:cs="UnitPro-Light"/>
        </w:rPr>
        <w:t>území</w:t>
      </w:r>
      <w:r>
        <w:rPr>
          <w:rFonts w:ascii="UnitPro-Light" w:hAnsi="UnitPro-Light" w:cs="UnitPro-Light"/>
        </w:rPr>
        <w:t>,</w:t>
      </w:r>
    </w:p>
    <w:p w14:paraId="5F39C884" w14:textId="07BA5A35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zajištění prostupnosti území pro volně žijící živočichy a člověka</w:t>
      </w:r>
      <w:r>
        <w:rPr>
          <w:rFonts w:ascii="UnitPro-Light" w:hAnsi="UnitPro-Light" w:cs="UnitPro-Light"/>
        </w:rPr>
        <w:t>,</w:t>
      </w:r>
    </w:p>
    <w:p w14:paraId="13236678" w14:textId="1FDA68BF" w:rsidR="001C45D4" w:rsidRDefault="00540D02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ochran</w:t>
      </w:r>
      <w:r>
        <w:rPr>
          <w:rFonts w:ascii="UnitPro-Light" w:hAnsi="UnitPro-Light" w:cs="UnitPro-Light"/>
        </w:rPr>
        <w:t>a</w:t>
      </w:r>
      <w:r w:rsidRPr="001C45D4">
        <w:rPr>
          <w:rFonts w:ascii="UnitPro-Light" w:hAnsi="UnitPro-Light" w:cs="UnitPro-Light"/>
        </w:rPr>
        <w:t xml:space="preserve"> </w:t>
      </w:r>
      <w:r w:rsidR="001C45D4" w:rsidRPr="001C45D4">
        <w:rPr>
          <w:rFonts w:ascii="UnitPro-Light" w:hAnsi="UnitPro-Light" w:cs="UnitPro-Light"/>
        </w:rPr>
        <w:t>obytné zástavby před hlukem a vibracemi</w:t>
      </w:r>
      <w:r w:rsidR="001C45D4">
        <w:rPr>
          <w:rFonts w:ascii="UnitPro-Light" w:hAnsi="UnitPro-Light" w:cs="UnitPro-Light"/>
        </w:rPr>
        <w:t>,</w:t>
      </w:r>
    </w:p>
    <w:p w14:paraId="2B61C202" w14:textId="5408494D" w:rsidR="001C45D4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vhodné technické řešení a začlenění železniční dráhy do krajiny s</w:t>
      </w:r>
      <w:r>
        <w:rPr>
          <w:rFonts w:ascii="UnitPro-Light" w:hAnsi="UnitPro-Light" w:cs="UnitPro-Light"/>
        </w:rPr>
        <w:t> </w:t>
      </w:r>
      <w:r w:rsidRPr="001C45D4">
        <w:rPr>
          <w:rFonts w:ascii="UnitPro-Light" w:hAnsi="UnitPro-Light" w:cs="UnitPro-Light"/>
        </w:rPr>
        <w:t>cílem minimalizace vlivů na krajinný ráz a krajinné hodnoty, zejména v</w:t>
      </w:r>
      <w:r>
        <w:rPr>
          <w:rFonts w:ascii="UnitPro-Light" w:hAnsi="UnitPro-Light" w:cs="UnitPro-Light"/>
        </w:rPr>
        <w:t> </w:t>
      </w:r>
      <w:r w:rsidRPr="001C45D4">
        <w:rPr>
          <w:rFonts w:ascii="UnitPro-Light" w:hAnsi="UnitPro-Light" w:cs="UnitPro-Light"/>
        </w:rPr>
        <w:t>prostoru lesa jihovýchodního okraje Xaverovského háje</w:t>
      </w:r>
      <w:r w:rsidR="0016347E">
        <w:rPr>
          <w:rFonts w:ascii="UnitPro-Light" w:hAnsi="UnitPro-Light" w:cs="UnitPro-Light"/>
        </w:rPr>
        <w:t>, PR Klánovického lesa</w:t>
      </w:r>
      <w:r w:rsidRPr="001C45D4">
        <w:rPr>
          <w:rFonts w:ascii="UnitPro-Light" w:hAnsi="UnitPro-Light" w:cs="UnitPro-Light"/>
        </w:rPr>
        <w:t xml:space="preserve"> a také západního okraje lesního celku </w:t>
      </w:r>
      <w:proofErr w:type="spellStart"/>
      <w:r w:rsidRPr="001C45D4">
        <w:rPr>
          <w:rFonts w:ascii="UnitPro-Light" w:hAnsi="UnitPro-Light" w:cs="UnitPro-Light"/>
        </w:rPr>
        <w:t>Blatova</w:t>
      </w:r>
      <w:proofErr w:type="spellEnd"/>
      <w:r>
        <w:rPr>
          <w:rFonts w:ascii="UnitPro-Light" w:hAnsi="UnitPro-Light" w:cs="UnitPro-Light"/>
        </w:rPr>
        <w:t>,</w:t>
      </w:r>
    </w:p>
    <w:p w14:paraId="7B152567" w14:textId="18F130F8" w:rsidR="001C45D4" w:rsidRDefault="00540D02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 w:rsidRPr="001C45D4">
        <w:rPr>
          <w:rFonts w:ascii="UnitPro-Light" w:hAnsi="UnitPro-Light" w:cs="UnitPro-Light"/>
        </w:rPr>
        <w:t>ochran</w:t>
      </w:r>
      <w:r>
        <w:rPr>
          <w:rFonts w:ascii="UnitPro-Light" w:hAnsi="UnitPro-Light" w:cs="UnitPro-Light"/>
        </w:rPr>
        <w:t>a</w:t>
      </w:r>
      <w:r w:rsidRPr="001C45D4">
        <w:rPr>
          <w:rFonts w:ascii="UnitPro-Light" w:hAnsi="UnitPro-Light" w:cs="UnitPro-Light"/>
        </w:rPr>
        <w:t xml:space="preserve"> </w:t>
      </w:r>
      <w:r w:rsidR="001C45D4" w:rsidRPr="001C45D4">
        <w:rPr>
          <w:rFonts w:ascii="UnitPro-Light" w:hAnsi="UnitPro-Light" w:cs="UnitPro-Light"/>
        </w:rPr>
        <w:t>zvláště chráněných území, lokalit soustavy Natura 2000, lokalit výskytu zvláště chráněných druhů rostlin a živočichů s</w:t>
      </w:r>
      <w:r w:rsidR="001C45D4">
        <w:rPr>
          <w:rFonts w:ascii="UnitPro-Light" w:hAnsi="UnitPro-Light" w:cs="UnitPro-Light"/>
        </w:rPr>
        <w:t> </w:t>
      </w:r>
      <w:r w:rsidR="001C45D4" w:rsidRPr="001C45D4">
        <w:rPr>
          <w:rFonts w:ascii="UnitPro-Light" w:hAnsi="UnitPro-Light" w:cs="UnitPro-Light"/>
        </w:rPr>
        <w:t>národním významem, významných krajinných prvků a ÚSES</w:t>
      </w:r>
      <w:r w:rsidR="001C45D4">
        <w:rPr>
          <w:rFonts w:ascii="UnitPro-Light" w:hAnsi="UnitPro-Light" w:cs="UnitPro-Light"/>
        </w:rPr>
        <w:t>,</w:t>
      </w:r>
    </w:p>
    <w:p w14:paraId="5703B54F" w14:textId="0871C8C4" w:rsidR="00F42062" w:rsidRDefault="001C45D4" w:rsidP="00D1629B">
      <w:pPr>
        <w:numPr>
          <w:ilvl w:val="0"/>
          <w:numId w:val="9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t>minimaliz</w:t>
      </w:r>
      <w:r w:rsidR="007653CB">
        <w:rPr>
          <w:rFonts w:ascii="UnitPro-Light" w:hAnsi="UnitPro-Light" w:cs="UnitPro-Light"/>
        </w:rPr>
        <w:t>ace</w:t>
      </w:r>
      <w:r>
        <w:rPr>
          <w:rFonts w:ascii="UnitPro-Light" w:hAnsi="UnitPro-Light" w:cs="UnitPro-Light"/>
        </w:rPr>
        <w:t xml:space="preserve"> zábor</w:t>
      </w:r>
      <w:r w:rsidR="007653CB">
        <w:rPr>
          <w:rFonts w:ascii="UnitPro-Light" w:hAnsi="UnitPro-Light" w:cs="UnitPro-Light"/>
        </w:rPr>
        <w:t>ů</w:t>
      </w:r>
      <w:r>
        <w:rPr>
          <w:rFonts w:ascii="UnitPro-Light" w:hAnsi="UnitPro-Light" w:cs="UnitPro-Light"/>
        </w:rPr>
        <w:t xml:space="preserve"> zemědělského půdního fondu.</w:t>
      </w:r>
    </w:p>
    <w:p w14:paraId="7CEC5AC0" w14:textId="1032E91C" w:rsidR="00D1629B" w:rsidRPr="00D1629B" w:rsidRDefault="00D1629B" w:rsidP="00D1629B">
      <w:pPr>
        <w:keepNext/>
        <w:keepLines/>
        <w:spacing w:before="40" w:after="0"/>
        <w:outlineLvl w:val="5"/>
        <w:rPr>
          <w:rFonts w:ascii="UnitPro-Light" w:eastAsiaTheme="majorEastAsia" w:hAnsi="UnitPro-Light" w:cs="UnitPro-Light"/>
          <w:b/>
        </w:rPr>
      </w:pPr>
      <w:r w:rsidRPr="00D1629B">
        <w:rPr>
          <w:rFonts w:ascii="UnitPro-Light" w:eastAsiaTheme="majorEastAsia" w:hAnsi="UnitPro-Light" w:cs="UnitPro-Light"/>
          <w:b/>
        </w:rPr>
        <w:t>Úkoly pro podrobnější územně plánovací dokumentaci:</w:t>
      </w:r>
    </w:p>
    <w:p w14:paraId="15E76FF5" w14:textId="5CD8893D" w:rsidR="00F42062" w:rsidRDefault="00C008D8" w:rsidP="00D1629B">
      <w:pPr>
        <w:numPr>
          <w:ilvl w:val="0"/>
          <w:numId w:val="10"/>
        </w:numPr>
        <w:spacing w:line="276" w:lineRule="auto"/>
        <w:contextualSpacing/>
        <w:jc w:val="both"/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t>respektovat vymezený koridor</w:t>
      </w:r>
      <w:r w:rsidR="00F42062">
        <w:rPr>
          <w:rFonts w:ascii="UnitPro-Light" w:hAnsi="UnitPro-Light" w:cs="UnitPro-Light"/>
        </w:rPr>
        <w:t>,</w:t>
      </w:r>
    </w:p>
    <w:p w14:paraId="3B391590" w14:textId="77777777" w:rsidR="001C45D4" w:rsidRDefault="00F42062" w:rsidP="007653CB">
      <w:pPr>
        <w:numPr>
          <w:ilvl w:val="0"/>
          <w:numId w:val="10"/>
        </w:numPr>
        <w:spacing w:after="0" w:line="276" w:lineRule="auto"/>
        <w:ind w:left="714" w:hanging="357"/>
        <w:jc w:val="both"/>
        <w:rPr>
          <w:rFonts w:ascii="UnitPro-Light" w:hAnsi="UnitPro-Light" w:cs="UnitPro-Light"/>
        </w:rPr>
      </w:pPr>
      <w:bookmarkStart w:id="1" w:name="_Hlk83814840"/>
      <w:r>
        <w:rPr>
          <w:rFonts w:ascii="UnitPro-Light" w:hAnsi="UnitPro-Light" w:cs="UnitPro-Light"/>
        </w:rPr>
        <w:t xml:space="preserve">vymezit rozsah tunelových úseků </w:t>
      </w:r>
      <w:r w:rsidRPr="00D32FC6">
        <w:rPr>
          <w:rFonts w:ascii="UnitPro-Light" w:hAnsi="UnitPro-Light" w:cs="UnitPro-Light"/>
        </w:rPr>
        <w:t>pro zmírnění bariérového efektu stavby v</w:t>
      </w:r>
      <w:r>
        <w:rPr>
          <w:rFonts w:ascii="UnitPro-Light" w:hAnsi="UnitPro-Light" w:cs="UnitPro-Light"/>
        </w:rPr>
        <w:t> </w:t>
      </w:r>
      <w:r w:rsidRPr="00D32FC6">
        <w:rPr>
          <w:rFonts w:ascii="UnitPro-Light" w:hAnsi="UnitPro-Light" w:cs="UnitPro-Light"/>
        </w:rPr>
        <w:t>území</w:t>
      </w:r>
      <w:r w:rsidR="001C45D4">
        <w:rPr>
          <w:rFonts w:ascii="UnitPro-Light" w:hAnsi="UnitPro-Light" w:cs="UnitPro-Light"/>
        </w:rPr>
        <w:t>,</w:t>
      </w:r>
    </w:p>
    <w:p w14:paraId="72BED1A6" w14:textId="77777777" w:rsidR="001C45D4" w:rsidRDefault="001C45D4" w:rsidP="007653CB">
      <w:pPr>
        <w:numPr>
          <w:ilvl w:val="0"/>
          <w:numId w:val="10"/>
        </w:numPr>
        <w:spacing w:after="0" w:line="276" w:lineRule="auto"/>
        <w:ind w:left="714" w:hanging="357"/>
        <w:jc w:val="both"/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t>m</w:t>
      </w:r>
      <w:r w:rsidRPr="001C45D4">
        <w:rPr>
          <w:rFonts w:ascii="UnitPro-Light" w:hAnsi="UnitPro-Light" w:cs="UnitPro-Light"/>
        </w:rPr>
        <w:t>inimaliz</w:t>
      </w:r>
      <w:r>
        <w:rPr>
          <w:rFonts w:ascii="UnitPro-Light" w:hAnsi="UnitPro-Light" w:cs="UnitPro-Light"/>
        </w:rPr>
        <w:t>ovat</w:t>
      </w:r>
      <w:r w:rsidRPr="001C45D4">
        <w:rPr>
          <w:rFonts w:ascii="UnitPro-Light" w:hAnsi="UnitPro-Light" w:cs="UnitPro-Light"/>
        </w:rPr>
        <w:t xml:space="preserve"> vliv</w:t>
      </w:r>
      <w:r>
        <w:rPr>
          <w:rFonts w:ascii="UnitPro-Light" w:hAnsi="UnitPro-Light" w:cs="UnitPro-Light"/>
        </w:rPr>
        <w:t>y</w:t>
      </w:r>
      <w:r w:rsidRPr="001C45D4">
        <w:rPr>
          <w:rFonts w:ascii="UnitPro-Light" w:hAnsi="UnitPro-Light" w:cs="UnitPro-Light"/>
        </w:rPr>
        <w:t xml:space="preserve"> na průchod povodňových průtoků a odtokové poměry</w:t>
      </w:r>
      <w:r>
        <w:rPr>
          <w:rFonts w:ascii="UnitPro-Light" w:hAnsi="UnitPro-Light" w:cs="UnitPro-Light"/>
        </w:rPr>
        <w:t>,</w:t>
      </w:r>
    </w:p>
    <w:p w14:paraId="640AFF2C" w14:textId="77777777" w:rsidR="007653CB" w:rsidRDefault="001C45D4" w:rsidP="007653CB">
      <w:pPr>
        <w:numPr>
          <w:ilvl w:val="0"/>
          <w:numId w:val="10"/>
        </w:numPr>
        <w:spacing w:after="0" w:line="276" w:lineRule="auto"/>
        <w:ind w:left="714" w:hanging="357"/>
        <w:jc w:val="both"/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t>m</w:t>
      </w:r>
      <w:r w:rsidRPr="001C45D4">
        <w:rPr>
          <w:rFonts w:ascii="UnitPro-Light" w:hAnsi="UnitPro-Light" w:cs="UnitPro-Light"/>
        </w:rPr>
        <w:t>inimaliz</w:t>
      </w:r>
      <w:r>
        <w:rPr>
          <w:rFonts w:ascii="UnitPro-Light" w:hAnsi="UnitPro-Light" w:cs="UnitPro-Light"/>
        </w:rPr>
        <w:t>ovat</w:t>
      </w:r>
      <w:r w:rsidRPr="001C45D4">
        <w:rPr>
          <w:rFonts w:ascii="UnitPro-Light" w:hAnsi="UnitPro-Light" w:cs="UnitPro-Light"/>
        </w:rPr>
        <w:t xml:space="preserve"> vliv</w:t>
      </w:r>
      <w:r>
        <w:rPr>
          <w:rFonts w:ascii="UnitPro-Light" w:hAnsi="UnitPro-Light" w:cs="UnitPro-Light"/>
        </w:rPr>
        <w:t>y</w:t>
      </w:r>
      <w:r w:rsidRPr="001C45D4">
        <w:rPr>
          <w:rFonts w:ascii="UnitPro-Light" w:hAnsi="UnitPro-Light" w:cs="UnitPro-Light"/>
        </w:rPr>
        <w:t xml:space="preserve"> a zásah</w:t>
      </w:r>
      <w:r>
        <w:rPr>
          <w:rFonts w:ascii="UnitPro-Light" w:hAnsi="UnitPro-Light" w:cs="UnitPro-Light"/>
        </w:rPr>
        <w:t>y</w:t>
      </w:r>
      <w:r w:rsidRPr="001C45D4">
        <w:rPr>
          <w:rFonts w:ascii="UnitPro-Light" w:hAnsi="UnitPro-Light" w:cs="UnitPro-Light"/>
        </w:rPr>
        <w:t xml:space="preserve"> do zvláště chráněných území, lokalit soustavy Natura 2000, lokalit výskytu zvláště chráněných druhů rostlin a živočichů s</w:t>
      </w:r>
      <w:r>
        <w:rPr>
          <w:rFonts w:ascii="UnitPro-Light" w:hAnsi="UnitPro-Light" w:cs="UnitPro-Light"/>
        </w:rPr>
        <w:t> </w:t>
      </w:r>
      <w:r w:rsidRPr="001C45D4">
        <w:rPr>
          <w:rFonts w:ascii="UnitPro-Light" w:hAnsi="UnitPro-Light" w:cs="UnitPro-Light"/>
        </w:rPr>
        <w:t>národním významem, významných krajinných prvků a skladebných částí ÚSES</w:t>
      </w:r>
      <w:r w:rsidR="007653CB">
        <w:rPr>
          <w:rFonts w:ascii="UnitPro-Light" w:hAnsi="UnitPro-Light" w:cs="UnitPro-Light"/>
        </w:rPr>
        <w:t>,</w:t>
      </w:r>
    </w:p>
    <w:p w14:paraId="126285D1" w14:textId="2220953B" w:rsidR="00D1629B" w:rsidRDefault="007653CB" w:rsidP="00691C25">
      <w:pPr>
        <w:numPr>
          <w:ilvl w:val="0"/>
          <w:numId w:val="10"/>
        </w:numPr>
        <w:spacing w:line="276" w:lineRule="auto"/>
        <w:ind w:left="714" w:hanging="357"/>
        <w:jc w:val="both"/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t>z</w:t>
      </w:r>
      <w:r w:rsidRPr="007653CB">
        <w:rPr>
          <w:rFonts w:ascii="UnitPro-Light" w:hAnsi="UnitPro-Light" w:cs="UnitPro-Light"/>
        </w:rPr>
        <w:t>ajistit prostupnost území pro člověka a volně žijící živočichy</w:t>
      </w:r>
      <w:r w:rsidR="00F42062">
        <w:rPr>
          <w:rFonts w:ascii="UnitPro-Light" w:hAnsi="UnitPro-Light" w:cs="UnitPro-Light"/>
        </w:rPr>
        <w:t>.</w:t>
      </w:r>
      <w:bookmarkEnd w:id="1"/>
      <w:r w:rsidR="00C008D8">
        <w:rPr>
          <w:rFonts w:ascii="UnitPro-Light" w:hAnsi="UnitPro-Light" w:cs="UnitPro-Light"/>
        </w:rPr>
        <w:t>“</w:t>
      </w:r>
    </w:p>
    <w:p w14:paraId="113940F9" w14:textId="77777777" w:rsidR="007653CB" w:rsidRDefault="007653CB">
      <w:pPr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br w:type="page"/>
      </w:r>
    </w:p>
    <w:p w14:paraId="6CFCB02E" w14:textId="102FB4D6" w:rsidR="00122420" w:rsidRPr="00691C25" w:rsidRDefault="00691C25" w:rsidP="00691C25">
      <w:pPr>
        <w:rPr>
          <w:rFonts w:ascii="UnitPro-Light" w:hAnsi="UnitPro-Light" w:cs="UnitPro-Light"/>
        </w:rPr>
      </w:pPr>
      <w:r>
        <w:rPr>
          <w:rFonts w:ascii="UnitPro-Light" w:hAnsi="UnitPro-Light" w:cs="UnitPro-Light"/>
        </w:rPr>
        <w:lastRenderedPageBreak/>
        <w:t>V souvislosti s </w:t>
      </w:r>
      <w:r w:rsidRPr="00691C25">
        <w:rPr>
          <w:rFonts w:ascii="UnitPro-Light" w:hAnsi="UnitPro-Light" w:cs="UnitPro-Light"/>
        </w:rPr>
        <w:t>napojení</w:t>
      </w:r>
      <w:r>
        <w:rPr>
          <w:rFonts w:ascii="UnitPro-Light" w:hAnsi="UnitPro-Light" w:cs="UnitPro-Light"/>
        </w:rPr>
        <w:t>m</w:t>
      </w:r>
      <w:r w:rsidRPr="00691C25">
        <w:rPr>
          <w:rFonts w:ascii="UnitPro-Light" w:hAnsi="UnitPro-Light" w:cs="UnitPro-Light"/>
        </w:rPr>
        <w:t xml:space="preserve"> </w:t>
      </w:r>
      <w:r>
        <w:rPr>
          <w:rFonts w:ascii="UnitPro-Light" w:hAnsi="UnitPro-Light" w:cs="UnitPro-Light"/>
        </w:rPr>
        <w:t>Východního vstupu Rychlého spojení</w:t>
      </w:r>
      <w:r w:rsidRPr="00691C25">
        <w:rPr>
          <w:rFonts w:ascii="UnitPro-Light" w:hAnsi="UnitPro-Light" w:cs="UnitPro-Light"/>
        </w:rPr>
        <w:t xml:space="preserve"> na konvenční železniční síť je </w:t>
      </w:r>
      <w:r>
        <w:rPr>
          <w:rFonts w:ascii="UnitPro-Light" w:hAnsi="UnitPro-Light" w:cs="UnitPro-Light"/>
        </w:rPr>
        <w:t xml:space="preserve">v grafické části provedena </w:t>
      </w:r>
      <w:r w:rsidRPr="00691C25">
        <w:rPr>
          <w:rFonts w:ascii="UnitPro-Light" w:hAnsi="UnitPro-Light" w:cs="UnitPro-Light"/>
        </w:rPr>
        <w:t>úprava koridoru konvenční železniční dopravy – I. + III. tranzitní železniční koridor vč. vymezení VPS Z/507/DZ v</w:t>
      </w:r>
      <w:r>
        <w:rPr>
          <w:rFonts w:ascii="UnitPro-Light" w:hAnsi="UnitPro-Light" w:cs="UnitPro-Light"/>
        </w:rPr>
        <w:t> </w:t>
      </w:r>
      <w:r w:rsidRPr="00691C25">
        <w:rPr>
          <w:rFonts w:ascii="UnitPro-Light" w:hAnsi="UnitPro-Light" w:cs="UnitPro-Light"/>
        </w:rPr>
        <w:t>prostoru železniční stanice Praha-Běchovice.</w:t>
      </w:r>
    </w:p>
    <w:p w14:paraId="386FB538" w14:textId="390E19B3" w:rsidR="008247F1" w:rsidRDefault="008247F1" w:rsidP="008247F1">
      <w:pPr>
        <w:pStyle w:val="Odstavecseseznamem"/>
        <w:numPr>
          <w:ilvl w:val="0"/>
          <w:numId w:val="7"/>
        </w:numPr>
        <w:spacing w:after="80"/>
        <w:ind w:left="357" w:hanging="357"/>
        <w:contextualSpacing w:val="0"/>
        <w:rPr>
          <w:rFonts w:ascii="UnitPro-Light" w:hAnsi="UnitPro-Light" w:cs="UnitPro-Light"/>
        </w:rPr>
      </w:pPr>
      <w:r w:rsidRPr="00D1629B">
        <w:rPr>
          <w:rFonts w:ascii="UnitPro-Light" w:hAnsi="UnitPro-Light" w:cs="UnitPro-Light"/>
        </w:rPr>
        <w:t xml:space="preserve">V Kapitole </w:t>
      </w:r>
      <w:r>
        <w:rPr>
          <w:rFonts w:ascii="UnitPro-Light" w:hAnsi="UnitPro-Light" w:cs="UnitPro-Light"/>
        </w:rPr>
        <w:t>10</w:t>
      </w:r>
      <w:r w:rsidRPr="00D1629B">
        <w:rPr>
          <w:rFonts w:ascii="UnitPro-Light" w:hAnsi="UnitPro-Light" w:cs="UnitPro-Light"/>
        </w:rPr>
        <w:t>. </w:t>
      </w:r>
      <w:r w:rsidRPr="008247F1">
        <w:rPr>
          <w:rFonts w:ascii="UnitPro-Light" w:hAnsi="UnitPro-Light" w:cs="UnitPro-Light"/>
        </w:rPr>
        <w:t>Vymezení veřejně prospěšných staveb, veřejně prospěšných opatření, staveb a opatření k</w:t>
      </w:r>
      <w:r w:rsidR="00D85B1E">
        <w:rPr>
          <w:rFonts w:ascii="UnitPro-Light" w:hAnsi="UnitPro-Light" w:cs="UnitPro-Light"/>
        </w:rPr>
        <w:t> </w:t>
      </w:r>
      <w:r w:rsidRPr="008247F1">
        <w:rPr>
          <w:rFonts w:ascii="UnitPro-Light" w:hAnsi="UnitPro-Light" w:cs="UnitPro-Light"/>
        </w:rPr>
        <w:t>zajišťování obrany a bezpečnosti státu a vymezení asanačních území nadmístního významu, pro které lze práva k</w:t>
      </w:r>
      <w:r w:rsidR="00D85B1E">
        <w:rPr>
          <w:rFonts w:ascii="UnitPro-Light" w:hAnsi="UnitPro-Light" w:cs="UnitPro-Light"/>
        </w:rPr>
        <w:t> </w:t>
      </w:r>
      <w:r w:rsidRPr="008247F1">
        <w:rPr>
          <w:rFonts w:ascii="UnitPro-Light" w:hAnsi="UnitPro-Light" w:cs="UnitPro-Light"/>
        </w:rPr>
        <w:t>pozemkům a stavbám vyvlastnit</w:t>
      </w:r>
      <w:r w:rsidRPr="00D1629B">
        <w:rPr>
          <w:rFonts w:ascii="UnitPro-Light" w:hAnsi="UnitPro-Light" w:cs="UnitPro-Light"/>
        </w:rPr>
        <w:t xml:space="preserve">, v kapitole </w:t>
      </w:r>
      <w:r>
        <w:rPr>
          <w:rFonts w:ascii="UnitPro-Light" w:hAnsi="UnitPro-Light" w:cs="UnitPro-Light"/>
        </w:rPr>
        <w:t>10</w:t>
      </w:r>
      <w:r w:rsidRPr="00D1629B">
        <w:rPr>
          <w:rFonts w:ascii="UnitPro-Light" w:hAnsi="UnitPro-Light" w:cs="UnitPro-Light"/>
        </w:rPr>
        <w:t>.</w:t>
      </w:r>
      <w:r>
        <w:rPr>
          <w:rFonts w:ascii="UnitPro-Light" w:hAnsi="UnitPro-Light" w:cs="UnitPro-Light"/>
        </w:rPr>
        <w:t>1.1</w:t>
      </w:r>
      <w:r w:rsidRPr="00D1629B">
        <w:rPr>
          <w:rFonts w:ascii="UnitPro-Light" w:hAnsi="UnitPro-Light" w:cs="UnitPro-Light"/>
        </w:rPr>
        <w:t> </w:t>
      </w:r>
      <w:r w:rsidRPr="008247F1">
        <w:rPr>
          <w:rFonts w:ascii="UnitPro-Light" w:hAnsi="UnitPro-Light" w:cs="UnitPro-Light"/>
        </w:rPr>
        <w:t>Veřejně prospěšné stavby ve vymezených plochách a koridorech dopravní infrastruktury nadmístního významu</w:t>
      </w:r>
      <w:r>
        <w:rPr>
          <w:rFonts w:ascii="UnitPro-Light" w:hAnsi="UnitPro-Light" w:cs="UnitPro-Light"/>
        </w:rPr>
        <w:t xml:space="preserve"> </w:t>
      </w:r>
      <w:r w:rsidRPr="00D1629B">
        <w:rPr>
          <w:rFonts w:ascii="UnitPro-Light" w:hAnsi="UnitPro-Light" w:cs="UnitPro-Light"/>
          <w:u w:val="single"/>
        </w:rPr>
        <w:t xml:space="preserve">se </w:t>
      </w:r>
      <w:r>
        <w:rPr>
          <w:rFonts w:ascii="UnitPro-Light" w:hAnsi="UnitPro-Light" w:cs="UnitPro-Light"/>
          <w:u w:val="single"/>
        </w:rPr>
        <w:t xml:space="preserve">doplňuje </w:t>
      </w:r>
      <w:r w:rsidRPr="00D1629B">
        <w:rPr>
          <w:rFonts w:ascii="UnitPro-Light" w:hAnsi="UnitPro-Light" w:cs="UnitPro-Light"/>
          <w:u w:val="single"/>
        </w:rPr>
        <w:t xml:space="preserve">text </w:t>
      </w:r>
      <w:r>
        <w:rPr>
          <w:rFonts w:ascii="UnitPro-Light" w:hAnsi="UnitPro-Light" w:cs="UnitPro-Light"/>
          <w:u w:val="single"/>
        </w:rPr>
        <w:t>tabulky</w:t>
      </w:r>
      <w:r w:rsidRPr="00D1629B">
        <w:rPr>
          <w:rFonts w:ascii="UnitPro-Light" w:hAnsi="UnitPro-Light" w:cs="UnitPro-Light"/>
          <w:u w:val="single"/>
        </w:rPr>
        <w:t xml:space="preserve"> </w:t>
      </w:r>
      <w:r w:rsidR="00F42062">
        <w:rPr>
          <w:rFonts w:ascii="UnitPro-Light" w:hAnsi="UnitPro-Light" w:cs="UnitPro-Light"/>
          <w:u w:val="single"/>
        </w:rPr>
        <w:t>o nový řádek v tomto znění</w:t>
      </w:r>
      <w:r>
        <w:rPr>
          <w:rFonts w:ascii="UnitPro-Light" w:hAnsi="UnitPro-Light" w:cs="UnitPro-Light"/>
        </w:rPr>
        <w:t>:</w:t>
      </w:r>
    </w:p>
    <w:tbl>
      <w:tblPr>
        <w:tblW w:w="85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"/>
        <w:gridCol w:w="575"/>
        <w:gridCol w:w="3056"/>
        <w:gridCol w:w="4252"/>
      </w:tblGrid>
      <w:tr w:rsidR="008247F1" w:rsidRPr="008247F1" w14:paraId="2DD7EA7E" w14:textId="77777777" w:rsidTr="0088020A">
        <w:trPr>
          <w:trHeight w:val="11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6DF67" w14:textId="6F07B620" w:rsidR="008247F1" w:rsidRPr="008247F1" w:rsidRDefault="008247F1" w:rsidP="0088020A">
            <w:pPr>
              <w:spacing w:line="276" w:lineRule="auto"/>
              <w:jc w:val="center"/>
              <w:rPr>
                <w:rFonts w:ascii="UnitPro-Light" w:eastAsia="Arial Unicode MS" w:hAnsi="UnitPro-Light" w:cs="UnitPro-Light"/>
                <w:sz w:val="18"/>
                <w:szCs w:val="18"/>
              </w:rPr>
            </w:pPr>
            <w:r w:rsidRPr="008247F1">
              <w:rPr>
                <w:rFonts w:ascii="UnitPro-Light" w:hAnsi="UnitPro-Light" w:cs="UnitPro-Light"/>
                <w:sz w:val="18"/>
                <w:szCs w:val="18"/>
              </w:rPr>
              <w:t>Z/508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561EA" w14:textId="26F28A81" w:rsidR="008247F1" w:rsidRPr="008247F1" w:rsidRDefault="008247F1" w:rsidP="0088020A">
            <w:pPr>
              <w:spacing w:line="276" w:lineRule="auto"/>
              <w:jc w:val="center"/>
              <w:rPr>
                <w:rFonts w:ascii="UnitPro-Light" w:eastAsia="Arial Unicode MS" w:hAnsi="UnitPro-Light" w:cs="UnitPro-Light"/>
                <w:sz w:val="18"/>
                <w:szCs w:val="18"/>
              </w:rPr>
            </w:pPr>
            <w:r w:rsidRPr="008247F1">
              <w:rPr>
                <w:rFonts w:ascii="UnitPro-Light" w:hAnsi="UnitPro-Light" w:cs="UnitPro-Light"/>
                <w:sz w:val="18"/>
                <w:szCs w:val="18"/>
              </w:rPr>
              <w:t>DZ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A0C46" w14:textId="6FA6E847" w:rsidR="008247F1" w:rsidRPr="008247F1" w:rsidRDefault="008247F1" w:rsidP="0088020A">
            <w:pPr>
              <w:spacing w:line="276" w:lineRule="auto"/>
              <w:rPr>
                <w:rFonts w:ascii="UnitPro-Light" w:eastAsia="Arial Unicode MS" w:hAnsi="UnitPro-Light" w:cs="UnitPro-Light"/>
                <w:sz w:val="18"/>
                <w:szCs w:val="18"/>
              </w:rPr>
            </w:pPr>
            <w:r w:rsidRPr="008247F1">
              <w:rPr>
                <w:rFonts w:ascii="UnitPro-Light" w:hAnsi="UnitPro-Light" w:cs="UnitPro-Light"/>
                <w:sz w:val="18"/>
                <w:szCs w:val="18"/>
              </w:rPr>
              <w:t>Běchovice, Horní Počernice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5B119" w14:textId="3BE22DAC" w:rsidR="008247F1" w:rsidRPr="008247F1" w:rsidRDefault="008247F1" w:rsidP="0088020A">
            <w:pPr>
              <w:spacing w:line="276" w:lineRule="auto"/>
              <w:rPr>
                <w:rFonts w:ascii="UnitPro-Light" w:eastAsia="Arial Unicode MS" w:hAnsi="UnitPro-Light" w:cs="UnitPro-Light"/>
                <w:sz w:val="18"/>
                <w:szCs w:val="18"/>
              </w:rPr>
            </w:pPr>
            <w:r w:rsidRPr="008247F1">
              <w:rPr>
                <w:rFonts w:ascii="UnitPro-Light" w:hAnsi="UnitPro-Light" w:cs="UnitPro-Light"/>
                <w:sz w:val="18"/>
                <w:szCs w:val="18"/>
              </w:rPr>
              <w:t>Východní vstup Rychlého spojení</w:t>
            </w:r>
          </w:p>
        </w:tc>
      </w:tr>
    </w:tbl>
    <w:p w14:paraId="7C2907C0" w14:textId="6DE8216B" w:rsidR="00D5066C" w:rsidRPr="00D5066C" w:rsidRDefault="00D5066C" w:rsidP="00691C25">
      <w:pPr>
        <w:spacing w:before="240"/>
        <w:jc w:val="both"/>
        <w:rPr>
          <w:rFonts w:ascii="UnitPro-Bold" w:hAnsi="UnitPro-Bold" w:cs="UnitPro-Bold"/>
          <w:sz w:val="32"/>
        </w:rPr>
      </w:pPr>
      <w:r w:rsidRPr="00D5066C">
        <w:rPr>
          <w:rFonts w:ascii="UnitPro-Bold" w:hAnsi="UnitPro-Bold" w:cs="UnitPro-Bold"/>
          <w:sz w:val="32"/>
        </w:rPr>
        <w:t>Údaj</w:t>
      </w:r>
      <w:r w:rsidR="0056785B">
        <w:rPr>
          <w:rFonts w:ascii="UnitPro-Bold" w:hAnsi="UnitPro-Bold" w:cs="UnitPro-Bold"/>
          <w:sz w:val="32"/>
        </w:rPr>
        <w:t xml:space="preserve">e o počtu listů Aktualizace č. </w:t>
      </w:r>
      <w:r w:rsidR="00C86E47">
        <w:rPr>
          <w:rFonts w:ascii="UnitPro-Bold" w:hAnsi="UnitPro-Bold" w:cs="UnitPro-Bold"/>
          <w:sz w:val="32"/>
        </w:rPr>
        <w:t>10</w:t>
      </w:r>
      <w:r w:rsidRPr="00D5066C">
        <w:rPr>
          <w:rFonts w:ascii="UnitPro-Bold" w:hAnsi="UnitPro-Bold" w:cs="UnitPro-Bold"/>
          <w:sz w:val="32"/>
        </w:rPr>
        <w:t xml:space="preserve"> ZÚR hl. m. Prahy a počtu výkresů grafické části</w:t>
      </w:r>
    </w:p>
    <w:p w14:paraId="2ACB5AC3" w14:textId="58B72539" w:rsidR="00C847DB" w:rsidRPr="00B56902" w:rsidRDefault="0056785B" w:rsidP="00F5371E">
      <w:pPr>
        <w:jc w:val="both"/>
        <w:rPr>
          <w:rFonts w:ascii="UnitPro-Light" w:hAnsi="UnitPro-Light" w:cs="UnitPro-Light"/>
          <w:strike/>
        </w:rPr>
      </w:pPr>
      <w:r>
        <w:rPr>
          <w:rFonts w:ascii="UnitPro-Light" w:hAnsi="UnitPro-Light" w:cs="UnitPro-Light"/>
        </w:rPr>
        <w:t xml:space="preserve">Aktualizace č. </w:t>
      </w:r>
      <w:r w:rsidR="00C86E47">
        <w:rPr>
          <w:rFonts w:ascii="UnitPro-Light" w:hAnsi="UnitPro-Light" w:cs="UnitPro-Light"/>
        </w:rPr>
        <w:t>10</w:t>
      </w:r>
      <w:r w:rsidR="00D5066C">
        <w:rPr>
          <w:rFonts w:ascii="UnitPro-Light" w:hAnsi="UnitPro-Light" w:cs="UnitPro-Light"/>
        </w:rPr>
        <w:t xml:space="preserve"> ZÚR hl. m. Prahy obsahuje textovou část v rozsahu </w:t>
      </w:r>
      <w:r w:rsidR="007653CB">
        <w:rPr>
          <w:rFonts w:ascii="UnitPro-Light" w:hAnsi="UnitPro-Light" w:cs="UnitPro-Light"/>
        </w:rPr>
        <w:t>4</w:t>
      </w:r>
      <w:r w:rsidR="00AF103B" w:rsidRPr="00F03178">
        <w:rPr>
          <w:rFonts w:ascii="UnitPro-Light" w:hAnsi="UnitPro-Light" w:cs="UnitPro-Light"/>
        </w:rPr>
        <w:t xml:space="preserve"> stran</w:t>
      </w:r>
      <w:r w:rsidR="00AF103B">
        <w:rPr>
          <w:rFonts w:ascii="UnitPro-Light" w:hAnsi="UnitPro-Light" w:cs="UnitPro-Light"/>
        </w:rPr>
        <w:t xml:space="preserve"> formátu A4</w:t>
      </w:r>
      <w:r w:rsidR="007A43C5">
        <w:rPr>
          <w:rFonts w:ascii="UnitPro-Light" w:hAnsi="UnitPro-Light" w:cs="UnitPro-Light"/>
        </w:rPr>
        <w:t>.</w:t>
      </w:r>
    </w:p>
    <w:p w14:paraId="5665B2EB" w14:textId="6F296688" w:rsidR="003753F9" w:rsidRPr="006344A8" w:rsidRDefault="006D1E22" w:rsidP="00B56902">
      <w:pPr>
        <w:jc w:val="both"/>
        <w:rPr>
          <w:rFonts w:ascii="UnitPro-Light" w:hAnsi="UnitPro-Light" w:cs="UnitPro-Light"/>
          <w:u w:val="single"/>
        </w:rPr>
      </w:pPr>
      <w:r>
        <w:rPr>
          <w:rFonts w:ascii="UnitPro-Light" w:hAnsi="UnitPro-Light" w:cs="UnitPro-Light"/>
          <w:u w:val="single"/>
        </w:rPr>
        <w:t>Grafická</w:t>
      </w:r>
      <w:r w:rsidR="007A43C5" w:rsidRPr="006344A8">
        <w:rPr>
          <w:rFonts w:ascii="UnitPro-Light" w:hAnsi="UnitPro-Light" w:cs="UnitPro-Light"/>
          <w:u w:val="single"/>
        </w:rPr>
        <w:t xml:space="preserve"> </w:t>
      </w:r>
      <w:r w:rsidR="00610B82">
        <w:rPr>
          <w:rFonts w:ascii="UnitPro-Light" w:hAnsi="UnitPro-Light" w:cs="UnitPro-Light"/>
          <w:u w:val="single"/>
        </w:rPr>
        <w:t>část</w:t>
      </w:r>
      <w:r w:rsidR="007A43C5" w:rsidRPr="006344A8">
        <w:rPr>
          <w:rFonts w:ascii="UnitPro-Light" w:hAnsi="UnitPro-Light" w:cs="UnitPro-Light"/>
          <w:u w:val="single"/>
        </w:rPr>
        <w:t>:</w:t>
      </w:r>
    </w:p>
    <w:p w14:paraId="5E517CF8" w14:textId="68F234C7" w:rsidR="00F03178" w:rsidRDefault="00D52E91" w:rsidP="00CE52BF">
      <w:pPr>
        <w:tabs>
          <w:tab w:val="left" w:pos="5670"/>
        </w:tabs>
        <w:contextualSpacing/>
        <w:jc w:val="both"/>
        <w:rPr>
          <w:rFonts w:ascii="UnitPro-Light" w:hAnsi="UnitPro-Light" w:cs="UnitPro-Light"/>
        </w:rPr>
      </w:pPr>
      <w:r w:rsidRPr="00986BA0">
        <w:rPr>
          <w:rFonts w:ascii="UnitPro-Light" w:hAnsi="UnitPro-Light" w:cs="UnitPro-Light"/>
        </w:rPr>
        <w:t>2. V</w:t>
      </w:r>
      <w:r w:rsidR="007A43C5" w:rsidRPr="00986BA0">
        <w:rPr>
          <w:rFonts w:ascii="UnitPro-Light" w:hAnsi="UnitPro-Light" w:cs="UnitPro-Light"/>
        </w:rPr>
        <w:t xml:space="preserve">ýkres ploch a koridorů nadmístního významu – dopravní infrastruktura </w:t>
      </w:r>
      <w:r w:rsidR="001C510E" w:rsidRPr="00986BA0">
        <w:rPr>
          <w:rFonts w:ascii="UnitPro-Light" w:hAnsi="UnitPro-Light" w:cs="UnitPro-Light"/>
        </w:rPr>
        <w:t xml:space="preserve">– Aktualizace č. </w:t>
      </w:r>
      <w:r w:rsidR="00C86E47">
        <w:rPr>
          <w:rFonts w:ascii="UnitPro-Light" w:hAnsi="UnitPro-Light" w:cs="UnitPro-Light"/>
        </w:rPr>
        <w:t>10</w:t>
      </w:r>
    </w:p>
    <w:p w14:paraId="30B12074" w14:textId="560C7119" w:rsidR="007A43C5" w:rsidRPr="00986BA0" w:rsidRDefault="00CE52BF" w:rsidP="00CE52BF">
      <w:pPr>
        <w:tabs>
          <w:tab w:val="left" w:pos="5670"/>
        </w:tabs>
        <w:jc w:val="both"/>
        <w:rPr>
          <w:rFonts w:ascii="UnitPro-Light" w:hAnsi="UnitPro-Light" w:cs="UnitPro-Light"/>
        </w:rPr>
      </w:pPr>
      <w:r w:rsidRPr="00986BA0">
        <w:rPr>
          <w:rFonts w:ascii="UnitPro-Light" w:hAnsi="UnitPro-Light" w:cs="UnitPro-Light"/>
        </w:rPr>
        <w:tab/>
      </w:r>
      <w:proofErr w:type="gramStart"/>
      <w:r w:rsidR="007A43C5" w:rsidRPr="00986BA0">
        <w:rPr>
          <w:rFonts w:ascii="UnitPro-Light" w:hAnsi="UnitPro-Light" w:cs="UnitPro-Light"/>
        </w:rPr>
        <w:t>1</w:t>
      </w:r>
      <w:r w:rsidR="00F03178">
        <w:rPr>
          <w:rFonts w:ascii="UnitPro-Light" w:hAnsi="UnitPro-Light" w:cs="UnitPro-Light"/>
        </w:rPr>
        <w:t xml:space="preserve"> </w:t>
      </w:r>
      <w:r w:rsidR="007A43C5" w:rsidRPr="00986BA0">
        <w:rPr>
          <w:rFonts w:ascii="UnitPro-Light" w:hAnsi="UnitPro-Light" w:cs="UnitPro-Light"/>
        </w:rPr>
        <w:t>:</w:t>
      </w:r>
      <w:proofErr w:type="gramEnd"/>
      <w:r w:rsidR="00F03178">
        <w:rPr>
          <w:rFonts w:ascii="UnitPro-Light" w:hAnsi="UnitPro-Light" w:cs="UnitPro-Light"/>
        </w:rPr>
        <w:t xml:space="preserve"> </w:t>
      </w:r>
      <w:r w:rsidR="007A43C5" w:rsidRPr="00986BA0">
        <w:rPr>
          <w:rFonts w:ascii="UnitPro-Light" w:hAnsi="UnitPro-Light" w:cs="UnitPro-Light"/>
        </w:rPr>
        <w:t>100</w:t>
      </w:r>
      <w:r w:rsidR="00B56902" w:rsidRPr="00986BA0">
        <w:rPr>
          <w:rFonts w:ascii="UnitPro-Light" w:hAnsi="UnitPro-Light" w:cs="UnitPro-Light"/>
        </w:rPr>
        <w:t xml:space="preserve"> </w:t>
      </w:r>
      <w:r w:rsidR="007A43C5" w:rsidRPr="00986BA0">
        <w:rPr>
          <w:rFonts w:ascii="UnitPro-Light" w:hAnsi="UnitPro-Light" w:cs="UnitPro-Light"/>
        </w:rPr>
        <w:t>000</w:t>
      </w:r>
    </w:p>
    <w:p w14:paraId="17EF07F3" w14:textId="67752544" w:rsidR="001C510E" w:rsidRPr="00986BA0" w:rsidRDefault="001C510E" w:rsidP="001C510E">
      <w:pPr>
        <w:tabs>
          <w:tab w:val="left" w:pos="5670"/>
        </w:tabs>
        <w:contextualSpacing/>
        <w:jc w:val="both"/>
        <w:rPr>
          <w:rFonts w:ascii="UnitPro-Light" w:hAnsi="UnitPro-Light" w:cs="UnitPro-Light"/>
        </w:rPr>
      </w:pPr>
      <w:r w:rsidRPr="00986BA0">
        <w:rPr>
          <w:rFonts w:ascii="UnitPro-Light" w:hAnsi="UnitPro-Light" w:cs="UnitPro-Light"/>
        </w:rPr>
        <w:t xml:space="preserve">6. Výkres veřejně prospěšných staveb nadmístního významu – Aktualizace č. </w:t>
      </w:r>
      <w:r w:rsidR="00C86E47">
        <w:rPr>
          <w:rFonts w:ascii="UnitPro-Light" w:hAnsi="UnitPro-Light" w:cs="UnitPro-Light"/>
        </w:rPr>
        <w:t>10</w:t>
      </w:r>
    </w:p>
    <w:p w14:paraId="2DC19B9D" w14:textId="3B490AAB" w:rsidR="001C510E" w:rsidRPr="001C510E" w:rsidRDefault="001C510E" w:rsidP="001C510E">
      <w:pPr>
        <w:tabs>
          <w:tab w:val="left" w:pos="5670"/>
        </w:tabs>
        <w:contextualSpacing/>
        <w:jc w:val="both"/>
        <w:rPr>
          <w:rFonts w:ascii="UnitPro-Light" w:hAnsi="UnitPro-Light" w:cs="UnitPro-Light"/>
        </w:rPr>
      </w:pPr>
      <w:r w:rsidRPr="00986BA0">
        <w:rPr>
          <w:rFonts w:ascii="UnitPro-Light" w:hAnsi="UnitPro-Light" w:cs="UnitPro-Light"/>
        </w:rPr>
        <w:tab/>
      </w:r>
      <w:proofErr w:type="gramStart"/>
      <w:r w:rsidRPr="00986BA0">
        <w:rPr>
          <w:rFonts w:ascii="UnitPro-Light" w:hAnsi="UnitPro-Light" w:cs="UnitPro-Light"/>
        </w:rPr>
        <w:t>1 :</w:t>
      </w:r>
      <w:proofErr w:type="gramEnd"/>
      <w:r w:rsidRPr="00986BA0">
        <w:rPr>
          <w:rFonts w:ascii="UnitPro-Light" w:hAnsi="UnitPro-Light" w:cs="UnitPro-Light"/>
        </w:rPr>
        <w:t xml:space="preserve"> 100</w:t>
      </w:r>
      <w:r w:rsidR="00F03178">
        <w:rPr>
          <w:rFonts w:ascii="UnitPro-Light" w:hAnsi="UnitPro-Light" w:cs="UnitPro-Light"/>
        </w:rPr>
        <w:t xml:space="preserve"> </w:t>
      </w:r>
      <w:r w:rsidRPr="00986BA0">
        <w:rPr>
          <w:rFonts w:ascii="UnitPro-Light" w:hAnsi="UnitPro-Light" w:cs="UnitPro-Light"/>
        </w:rPr>
        <w:t>000</w:t>
      </w:r>
    </w:p>
    <w:p w14:paraId="229AD314" w14:textId="77777777" w:rsidR="001C510E" w:rsidRPr="006344A8" w:rsidRDefault="001C510E" w:rsidP="00CE52BF">
      <w:pPr>
        <w:tabs>
          <w:tab w:val="left" w:pos="5670"/>
        </w:tabs>
        <w:contextualSpacing/>
        <w:jc w:val="both"/>
        <w:rPr>
          <w:rFonts w:ascii="UnitPro-Light" w:hAnsi="UnitPro-Light" w:cs="UnitPro-Light"/>
        </w:rPr>
      </w:pPr>
    </w:p>
    <w:sectPr w:rsidR="001C510E" w:rsidRPr="006344A8" w:rsidSect="00F94DB6">
      <w:footerReference w:type="even" r:id="rId8"/>
      <w:footerReference w:type="default" r:id="rId9"/>
      <w:pgSz w:w="11906" w:h="16838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E91B5" w14:textId="77777777" w:rsidR="008442B5" w:rsidRDefault="008442B5" w:rsidP="006904D3">
      <w:pPr>
        <w:spacing w:after="0" w:line="240" w:lineRule="auto"/>
      </w:pPr>
      <w:r>
        <w:separator/>
      </w:r>
    </w:p>
  </w:endnote>
  <w:endnote w:type="continuationSeparator" w:id="0">
    <w:p w14:paraId="37B8507B" w14:textId="77777777" w:rsidR="008442B5" w:rsidRDefault="008442B5" w:rsidP="006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Medi">
    <w:altName w:val="Calibri"/>
    <w:panose1 w:val="00000000000000000000"/>
    <w:charset w:val="00"/>
    <w:family w:val="swiss"/>
    <w:notTrueType/>
    <w:pitch w:val="variable"/>
    <w:sig w:usb0="A00002FF" w:usb1="5000207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tPro-Light">
    <w:altName w:val="Calibri"/>
    <w:panose1 w:val="00000000000000000000"/>
    <w:charset w:val="00"/>
    <w:family w:val="swiss"/>
    <w:notTrueType/>
    <w:pitch w:val="variable"/>
    <w:sig w:usb0="A00002FF" w:usb1="5000207B" w:usb2="00000008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tPro-LightIta">
    <w:altName w:val="Calibri"/>
    <w:panose1 w:val="00000000000000000000"/>
    <w:charset w:val="00"/>
    <w:family w:val="swiss"/>
    <w:notTrueType/>
    <w:pitch w:val="variable"/>
    <w:sig w:usb0="A00002FF" w:usb1="5000207B" w:usb2="00000008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tPro-Bold">
    <w:altName w:val="Calibri"/>
    <w:panose1 w:val="00000000000000000000"/>
    <w:charset w:val="00"/>
    <w:family w:val="swiss"/>
    <w:notTrueType/>
    <w:pitch w:val="variable"/>
    <w:sig w:usb0="A00002FF" w:usb1="50002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179228"/>
      <w:docPartObj>
        <w:docPartGallery w:val="Page Numbers (Bottom of Page)"/>
        <w:docPartUnique/>
      </w:docPartObj>
    </w:sdtPr>
    <w:sdtEndPr>
      <w:rPr>
        <w:rFonts w:ascii="UnitPro-Light" w:hAnsi="UnitPro-Light" w:cs="UnitPro-Light"/>
      </w:rPr>
    </w:sdtEndPr>
    <w:sdtContent>
      <w:p w14:paraId="2B1133B4" w14:textId="52F12E12" w:rsidR="004E5C05" w:rsidRPr="004E5C05" w:rsidRDefault="004E5C05">
        <w:pPr>
          <w:pStyle w:val="Zpat"/>
          <w:rPr>
            <w:rFonts w:ascii="UnitPro-Light" w:hAnsi="UnitPro-Light" w:cs="UnitPro-Light"/>
          </w:rPr>
        </w:pPr>
        <w:r w:rsidRPr="004E5C05">
          <w:rPr>
            <w:rFonts w:ascii="UnitPro-Light" w:hAnsi="UnitPro-Light" w:cs="UnitPro-Light"/>
          </w:rPr>
          <w:fldChar w:fldCharType="begin"/>
        </w:r>
        <w:r w:rsidRPr="004E5C05">
          <w:rPr>
            <w:rFonts w:ascii="UnitPro-Light" w:hAnsi="UnitPro-Light" w:cs="UnitPro-Light"/>
          </w:rPr>
          <w:instrText>PAGE   \* MERGEFORMAT</w:instrText>
        </w:r>
        <w:r w:rsidRPr="004E5C05">
          <w:rPr>
            <w:rFonts w:ascii="UnitPro-Light" w:hAnsi="UnitPro-Light" w:cs="UnitPro-Light"/>
          </w:rPr>
          <w:fldChar w:fldCharType="separate"/>
        </w:r>
        <w:r w:rsidR="00053FED">
          <w:rPr>
            <w:rFonts w:ascii="UnitPro-Light" w:hAnsi="UnitPro-Light" w:cs="UnitPro-Light"/>
            <w:noProof/>
          </w:rPr>
          <w:t>2</w:t>
        </w:r>
        <w:r w:rsidRPr="004E5C05">
          <w:rPr>
            <w:rFonts w:ascii="UnitPro-Light" w:hAnsi="UnitPro-Light" w:cs="UnitPro-Light"/>
          </w:rPr>
          <w:fldChar w:fldCharType="end"/>
        </w:r>
      </w:p>
    </w:sdtContent>
  </w:sdt>
  <w:p w14:paraId="24EBB8C2" w14:textId="77777777" w:rsidR="004E5C05" w:rsidRDefault="004E5C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UnitPro-Light" w:hAnsi="UnitPro-Light" w:cs="UnitPro-Light"/>
      </w:rPr>
      <w:id w:val="1430543411"/>
      <w:docPartObj>
        <w:docPartGallery w:val="Page Numbers (Bottom of Page)"/>
        <w:docPartUnique/>
      </w:docPartObj>
    </w:sdtPr>
    <w:sdtEndPr/>
    <w:sdtContent>
      <w:p w14:paraId="50B06087" w14:textId="0EF464E2" w:rsidR="00873BA7" w:rsidRPr="00125BEB" w:rsidRDefault="00873BA7" w:rsidP="00873BA7">
        <w:pPr>
          <w:pStyle w:val="Zpat"/>
          <w:jc w:val="right"/>
          <w:rPr>
            <w:rFonts w:ascii="UnitPro-Light" w:hAnsi="UnitPro-Light" w:cs="UnitPro-Light"/>
          </w:rPr>
        </w:pPr>
        <w:r w:rsidRPr="00125BEB">
          <w:rPr>
            <w:rFonts w:ascii="UnitPro-Light" w:hAnsi="UnitPro-Light" w:cs="UnitPro-Light"/>
          </w:rPr>
          <w:fldChar w:fldCharType="begin"/>
        </w:r>
        <w:r w:rsidRPr="00125BEB">
          <w:rPr>
            <w:rFonts w:ascii="UnitPro-Light" w:hAnsi="UnitPro-Light" w:cs="UnitPro-Light"/>
          </w:rPr>
          <w:instrText>PAGE   \* MERGEFORMAT</w:instrText>
        </w:r>
        <w:r w:rsidRPr="00125BEB">
          <w:rPr>
            <w:rFonts w:ascii="UnitPro-Light" w:hAnsi="UnitPro-Light" w:cs="UnitPro-Light"/>
          </w:rPr>
          <w:fldChar w:fldCharType="separate"/>
        </w:r>
        <w:r w:rsidR="00F7096A">
          <w:rPr>
            <w:rFonts w:ascii="UnitPro-Light" w:hAnsi="UnitPro-Light" w:cs="UnitPro-Light"/>
            <w:noProof/>
          </w:rPr>
          <w:t>5</w:t>
        </w:r>
        <w:r w:rsidRPr="00125BEB">
          <w:rPr>
            <w:rFonts w:ascii="UnitPro-Light" w:hAnsi="UnitPro-Light" w:cs="UnitPro-Light"/>
          </w:rPr>
          <w:fldChar w:fldCharType="end"/>
        </w:r>
      </w:p>
    </w:sdtContent>
  </w:sdt>
  <w:p w14:paraId="21E16431" w14:textId="77777777" w:rsidR="00951462" w:rsidRDefault="009514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F87D" w14:textId="77777777" w:rsidR="008442B5" w:rsidRDefault="008442B5" w:rsidP="006904D3">
      <w:pPr>
        <w:spacing w:after="0" w:line="240" w:lineRule="auto"/>
      </w:pPr>
      <w:r>
        <w:separator/>
      </w:r>
    </w:p>
  </w:footnote>
  <w:footnote w:type="continuationSeparator" w:id="0">
    <w:p w14:paraId="7C83DF76" w14:textId="77777777" w:rsidR="008442B5" w:rsidRDefault="008442B5" w:rsidP="00690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EA2"/>
    <w:multiLevelType w:val="hybridMultilevel"/>
    <w:tmpl w:val="91E8D79E"/>
    <w:lvl w:ilvl="0" w:tplc="847E797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732F5"/>
    <w:multiLevelType w:val="hybridMultilevel"/>
    <w:tmpl w:val="F3F46DF0"/>
    <w:lvl w:ilvl="0" w:tplc="7C728C78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B2C90"/>
    <w:multiLevelType w:val="hybridMultilevel"/>
    <w:tmpl w:val="52CCBDA8"/>
    <w:lvl w:ilvl="0" w:tplc="6D98C8FC">
      <w:start w:val="1"/>
      <w:numFmt w:val="decimal"/>
      <w:lvlText w:val="%1)"/>
      <w:lvlJc w:val="left"/>
      <w:pPr>
        <w:ind w:left="720" w:hanging="360"/>
      </w:pPr>
      <w:rPr>
        <w:rFonts w:ascii="UnitPro-Medi" w:hAnsi="UnitPro-Medi" w:cs="UnitPro-Me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B64AA"/>
    <w:multiLevelType w:val="hybridMultilevel"/>
    <w:tmpl w:val="150E0712"/>
    <w:lvl w:ilvl="0" w:tplc="850A729A">
      <w:start w:val="1"/>
      <w:numFmt w:val="lowerLetter"/>
      <w:pStyle w:val="psmenovn"/>
      <w:lvlText w:val="%1)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B17E7"/>
    <w:multiLevelType w:val="hybridMultilevel"/>
    <w:tmpl w:val="E8E070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5777B"/>
    <w:multiLevelType w:val="hybridMultilevel"/>
    <w:tmpl w:val="F3F46DF0"/>
    <w:lvl w:ilvl="0" w:tplc="7C728C78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AD3483"/>
    <w:multiLevelType w:val="hybridMultilevel"/>
    <w:tmpl w:val="33328502"/>
    <w:lvl w:ilvl="0" w:tplc="7C728C78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63DE6"/>
    <w:multiLevelType w:val="hybridMultilevel"/>
    <w:tmpl w:val="A252BE48"/>
    <w:lvl w:ilvl="0" w:tplc="2C12343E">
      <w:start w:val="1"/>
      <w:numFmt w:val="decimal"/>
      <w:lvlText w:val="%1)"/>
      <w:lvlJc w:val="left"/>
      <w:pPr>
        <w:ind w:left="720" w:hanging="360"/>
      </w:pPr>
      <w:rPr>
        <w:rFonts w:ascii="UnitPro-Light" w:hAnsi="UnitPro-Light" w:cs="UnitPro-Light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682"/>
    <w:rsid w:val="000368F4"/>
    <w:rsid w:val="00043C0A"/>
    <w:rsid w:val="0004661A"/>
    <w:rsid w:val="000479C8"/>
    <w:rsid w:val="00050EEB"/>
    <w:rsid w:val="00052F56"/>
    <w:rsid w:val="00053FED"/>
    <w:rsid w:val="00072596"/>
    <w:rsid w:val="00086ACC"/>
    <w:rsid w:val="0009464B"/>
    <w:rsid w:val="000973B1"/>
    <w:rsid w:val="000A0CA4"/>
    <w:rsid w:val="000A44BC"/>
    <w:rsid w:val="000F5FFF"/>
    <w:rsid w:val="00122420"/>
    <w:rsid w:val="00125BEB"/>
    <w:rsid w:val="00145369"/>
    <w:rsid w:val="00156284"/>
    <w:rsid w:val="0016347E"/>
    <w:rsid w:val="001654D4"/>
    <w:rsid w:val="001831FA"/>
    <w:rsid w:val="00196109"/>
    <w:rsid w:val="001B4B86"/>
    <w:rsid w:val="001C45D4"/>
    <w:rsid w:val="001C510E"/>
    <w:rsid w:val="001C58C8"/>
    <w:rsid w:val="001F4F6F"/>
    <w:rsid w:val="002036F0"/>
    <w:rsid w:val="00227C02"/>
    <w:rsid w:val="002336AB"/>
    <w:rsid w:val="002431C4"/>
    <w:rsid w:val="00251D99"/>
    <w:rsid w:val="002B30F1"/>
    <w:rsid w:val="002D7B39"/>
    <w:rsid w:val="0037143C"/>
    <w:rsid w:val="00371C92"/>
    <w:rsid w:val="00372C1D"/>
    <w:rsid w:val="003753F9"/>
    <w:rsid w:val="003B050B"/>
    <w:rsid w:val="003B2BF4"/>
    <w:rsid w:val="003C4640"/>
    <w:rsid w:val="003D6D3D"/>
    <w:rsid w:val="003F2294"/>
    <w:rsid w:val="003F2CF5"/>
    <w:rsid w:val="00453D62"/>
    <w:rsid w:val="004C66BC"/>
    <w:rsid w:val="004D1204"/>
    <w:rsid w:val="004E1BA7"/>
    <w:rsid w:val="004E5C05"/>
    <w:rsid w:val="00525AA4"/>
    <w:rsid w:val="0054086F"/>
    <w:rsid w:val="00540D02"/>
    <w:rsid w:val="00544D70"/>
    <w:rsid w:val="00550AE3"/>
    <w:rsid w:val="00554682"/>
    <w:rsid w:val="00554FCB"/>
    <w:rsid w:val="0056785B"/>
    <w:rsid w:val="00596BFA"/>
    <w:rsid w:val="005E78A5"/>
    <w:rsid w:val="005F29B9"/>
    <w:rsid w:val="00610B82"/>
    <w:rsid w:val="00613320"/>
    <w:rsid w:val="00621855"/>
    <w:rsid w:val="006344A8"/>
    <w:rsid w:val="00660CEE"/>
    <w:rsid w:val="0066766A"/>
    <w:rsid w:val="00682216"/>
    <w:rsid w:val="00687CBA"/>
    <w:rsid w:val="006904D3"/>
    <w:rsid w:val="00691C25"/>
    <w:rsid w:val="006948E7"/>
    <w:rsid w:val="006C5620"/>
    <w:rsid w:val="006D1E22"/>
    <w:rsid w:val="006E5E19"/>
    <w:rsid w:val="00704BC3"/>
    <w:rsid w:val="00736227"/>
    <w:rsid w:val="007653CB"/>
    <w:rsid w:val="0079662B"/>
    <w:rsid w:val="007A1CB8"/>
    <w:rsid w:val="007A43C5"/>
    <w:rsid w:val="007B5B0E"/>
    <w:rsid w:val="007D66B4"/>
    <w:rsid w:val="007E5443"/>
    <w:rsid w:val="007E5F9F"/>
    <w:rsid w:val="007F14D9"/>
    <w:rsid w:val="00805800"/>
    <w:rsid w:val="008113FF"/>
    <w:rsid w:val="00813884"/>
    <w:rsid w:val="008247F1"/>
    <w:rsid w:val="00843D32"/>
    <w:rsid w:val="008442B5"/>
    <w:rsid w:val="00846D00"/>
    <w:rsid w:val="008661D7"/>
    <w:rsid w:val="00873BA7"/>
    <w:rsid w:val="008B2171"/>
    <w:rsid w:val="008D22F6"/>
    <w:rsid w:val="008E158D"/>
    <w:rsid w:val="008E3F4D"/>
    <w:rsid w:val="00932119"/>
    <w:rsid w:val="00933A1B"/>
    <w:rsid w:val="009419C4"/>
    <w:rsid w:val="00941B28"/>
    <w:rsid w:val="00946636"/>
    <w:rsid w:val="00951462"/>
    <w:rsid w:val="00951F3A"/>
    <w:rsid w:val="00962F95"/>
    <w:rsid w:val="00984E20"/>
    <w:rsid w:val="00986BA0"/>
    <w:rsid w:val="00991940"/>
    <w:rsid w:val="009C441B"/>
    <w:rsid w:val="009E52FB"/>
    <w:rsid w:val="009F0852"/>
    <w:rsid w:val="00A0745A"/>
    <w:rsid w:val="00A83669"/>
    <w:rsid w:val="00AC6F96"/>
    <w:rsid w:val="00AD68E6"/>
    <w:rsid w:val="00AF103B"/>
    <w:rsid w:val="00B24DC2"/>
    <w:rsid w:val="00B265EE"/>
    <w:rsid w:val="00B27964"/>
    <w:rsid w:val="00B56902"/>
    <w:rsid w:val="00B67297"/>
    <w:rsid w:val="00BF7847"/>
    <w:rsid w:val="00C008D8"/>
    <w:rsid w:val="00C04694"/>
    <w:rsid w:val="00C16FAE"/>
    <w:rsid w:val="00C225C0"/>
    <w:rsid w:val="00C40E61"/>
    <w:rsid w:val="00C576D2"/>
    <w:rsid w:val="00C67AE6"/>
    <w:rsid w:val="00C745A6"/>
    <w:rsid w:val="00C77124"/>
    <w:rsid w:val="00C847DB"/>
    <w:rsid w:val="00C86E47"/>
    <w:rsid w:val="00C95886"/>
    <w:rsid w:val="00CD2AE8"/>
    <w:rsid w:val="00CE3D80"/>
    <w:rsid w:val="00CE52BF"/>
    <w:rsid w:val="00D1629B"/>
    <w:rsid w:val="00D16BEB"/>
    <w:rsid w:val="00D32FC6"/>
    <w:rsid w:val="00D44A64"/>
    <w:rsid w:val="00D5066C"/>
    <w:rsid w:val="00D52E91"/>
    <w:rsid w:val="00D74F07"/>
    <w:rsid w:val="00D76DA5"/>
    <w:rsid w:val="00D85B1E"/>
    <w:rsid w:val="00D8743B"/>
    <w:rsid w:val="00DA7BBF"/>
    <w:rsid w:val="00DF5019"/>
    <w:rsid w:val="00DF5162"/>
    <w:rsid w:val="00E005D3"/>
    <w:rsid w:val="00E1465B"/>
    <w:rsid w:val="00E20C8F"/>
    <w:rsid w:val="00E22B7C"/>
    <w:rsid w:val="00E4786C"/>
    <w:rsid w:val="00E76C4B"/>
    <w:rsid w:val="00EA00FF"/>
    <w:rsid w:val="00F03178"/>
    <w:rsid w:val="00F03E95"/>
    <w:rsid w:val="00F32A4A"/>
    <w:rsid w:val="00F36DD2"/>
    <w:rsid w:val="00F42062"/>
    <w:rsid w:val="00F515AE"/>
    <w:rsid w:val="00F51A96"/>
    <w:rsid w:val="00F5371E"/>
    <w:rsid w:val="00F614E4"/>
    <w:rsid w:val="00F7096A"/>
    <w:rsid w:val="00F74525"/>
    <w:rsid w:val="00F83AB3"/>
    <w:rsid w:val="00F94DB6"/>
    <w:rsid w:val="00FA7595"/>
    <w:rsid w:val="00FC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DDA243"/>
  <w15:chartTrackingRefBased/>
  <w15:docId w15:val="{50DCAEF1-D9D8-402A-83A8-F3C5FB79E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IPR">
    <w:name w:val="IPR"/>
    <w:basedOn w:val="Normlntabulka"/>
    <w:uiPriority w:val="99"/>
    <w:rsid w:val="00156284"/>
    <w:pPr>
      <w:spacing w:after="0" w:line="240" w:lineRule="auto"/>
    </w:pPr>
    <w:tblPr/>
  </w:style>
  <w:style w:type="character" w:styleId="Odkaznakoment">
    <w:name w:val="annotation reference"/>
    <w:basedOn w:val="Standardnpsmoodstavce"/>
    <w:uiPriority w:val="99"/>
    <w:semiHidden/>
    <w:unhideWhenUsed/>
    <w:rsid w:val="008E3F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E3F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E3F4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3F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3F4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3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3F4D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C847D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847D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04D3"/>
  </w:style>
  <w:style w:type="paragraph" w:styleId="Zpat">
    <w:name w:val="footer"/>
    <w:basedOn w:val="Normln"/>
    <w:link w:val="ZpatChar"/>
    <w:uiPriority w:val="99"/>
    <w:unhideWhenUsed/>
    <w:rsid w:val="0069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04D3"/>
  </w:style>
  <w:style w:type="paragraph" w:customStyle="1" w:styleId="Default">
    <w:name w:val="Default"/>
    <w:rsid w:val="006133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C67AE6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A0CA4"/>
    <w:pPr>
      <w:ind w:left="720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0A0CA4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A0CA4"/>
    <w:rPr>
      <w:sz w:val="16"/>
      <w:szCs w:val="16"/>
    </w:rPr>
  </w:style>
  <w:style w:type="paragraph" w:customStyle="1" w:styleId="psmenovn">
    <w:name w:val="písmenování"/>
    <w:basedOn w:val="Normln"/>
    <w:qFormat/>
    <w:rsid w:val="00D1629B"/>
    <w:pPr>
      <w:numPr>
        <w:numId w:val="8"/>
      </w:numPr>
      <w:spacing w:line="276" w:lineRule="auto"/>
      <w:contextualSpacing/>
      <w:jc w:val="both"/>
    </w:pPr>
    <w:rPr>
      <w:rFonts w:ascii="UnitPro-Light" w:hAnsi="UnitPro-Light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526F6-54E9-4E05-9C0A-BB5A8ADB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4172</Characters>
  <Application>Microsoft Office Word</Application>
  <DocSecurity>4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Tittl Lukáš Ing. (IPR/INFR)</dc:creator>
  <cp:keywords/>
  <dc:description/>
  <cp:lastModifiedBy>Nevečeřalová Alena (MHMP, UZR)</cp:lastModifiedBy>
  <cp:revision>2</cp:revision>
  <cp:lastPrinted>2018-01-10T13:39:00Z</cp:lastPrinted>
  <dcterms:created xsi:type="dcterms:W3CDTF">2024-08-26T13:33:00Z</dcterms:created>
  <dcterms:modified xsi:type="dcterms:W3CDTF">2024-08-26T13:33:00Z</dcterms:modified>
</cp:coreProperties>
</file>